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68995">
      <w:pPr>
        <w:jc w:val="center"/>
        <w:outlineLvl w:val="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天全县始阳片区燃气管网安全隐患治理及设施设备更新改造项目</w:t>
      </w:r>
    </w:p>
    <w:p w14:paraId="669ADCD0">
      <w:pPr>
        <w:jc w:val="center"/>
        <w:outlineLvl w:val="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情况说明</w:t>
      </w:r>
    </w:p>
    <w:p w14:paraId="16EBBD72">
      <w:pPr>
        <w:numPr>
          <w:ilvl w:val="0"/>
          <w:numId w:val="0"/>
        </w:numPr>
        <w:spacing w:beforeLines="50" w:afterLines="50" w:line="360" w:lineRule="auto"/>
        <w:jc w:val="both"/>
        <w:outlineLvl w:val="0"/>
        <w:rPr>
          <w:rFonts w:hint="eastAsia" w:ascii="仿宋" w:hAnsi="仿宋" w:eastAsia="仿宋" w:cs="仿宋"/>
          <w:b/>
          <w:bCs/>
          <w:sz w:val="32"/>
          <w:szCs w:val="32"/>
        </w:rPr>
      </w:pPr>
      <w:bookmarkStart w:id="0" w:name="_Toc29970"/>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项目基本情况</w:t>
      </w:r>
      <w:bookmarkEnd w:id="0"/>
    </w:p>
    <w:p w14:paraId="078C5F52">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bookmarkStart w:id="1" w:name="_Toc498385714"/>
      <w:bookmarkStart w:id="2" w:name="_Toc498385045"/>
      <w:bookmarkStart w:id="3" w:name="_Toc29323"/>
      <w:bookmarkStart w:id="4" w:name="_Toc29907"/>
      <w:r>
        <w:rPr>
          <w:rFonts w:hint="eastAsia" w:ascii="仿宋" w:hAnsi="仿宋" w:eastAsia="仿宋" w:cs="仿宋"/>
          <w:b/>
          <w:bCs/>
          <w:sz w:val="32"/>
          <w:szCs w:val="32"/>
          <w:lang w:val="en-US"/>
        </w:rPr>
        <w:t>（一）</w:t>
      </w:r>
      <w:bookmarkEnd w:id="1"/>
      <w:bookmarkEnd w:id="2"/>
      <w:r>
        <w:rPr>
          <w:rFonts w:hint="eastAsia" w:ascii="仿宋" w:hAnsi="仿宋" w:eastAsia="仿宋" w:cs="仿宋"/>
          <w:b/>
          <w:bCs/>
          <w:sz w:val="32"/>
          <w:szCs w:val="32"/>
          <w:lang w:val="en-US"/>
        </w:rPr>
        <w:t>市县及级行业专项规划概况</w:t>
      </w:r>
      <w:bookmarkEnd w:id="3"/>
      <w:bookmarkEnd w:id="4"/>
    </w:p>
    <w:p w14:paraId="45397C5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bookmarkStart w:id="5" w:name="_Toc31185"/>
      <w:bookmarkStart w:id="6" w:name="_Toc20641"/>
      <w:bookmarkStart w:id="7" w:name="_Toc30768"/>
      <w:bookmarkStart w:id="8" w:name="_Toc21332"/>
      <w:bookmarkStart w:id="9" w:name="_Toc8651"/>
      <w:bookmarkStart w:id="10" w:name="_Toc3378"/>
      <w:bookmarkStart w:id="11" w:name="_Toc19274"/>
      <w:bookmarkStart w:id="12" w:name="_Toc18204"/>
      <w:bookmarkStart w:id="13" w:name="_Toc9841"/>
      <w:bookmarkStart w:id="14" w:name="_Toc30057"/>
      <w:bookmarkStart w:id="15" w:name="_Toc29490"/>
      <w:r>
        <w:rPr>
          <w:rFonts w:hint="eastAsia" w:ascii="仿宋" w:hAnsi="仿宋" w:eastAsia="仿宋" w:cs="仿宋"/>
          <w:b w:val="0"/>
          <w:bCs w:val="0"/>
          <w:caps/>
          <w:kern w:val="2"/>
          <w:sz w:val="28"/>
          <w:szCs w:val="28"/>
          <w:lang w:val="en-US" w:eastAsia="zh-CN" w:bidi="ar-SA"/>
        </w:rPr>
        <w:t>1.</w:t>
      </w:r>
      <w:bookmarkEnd w:id="5"/>
      <w:r>
        <w:rPr>
          <w:rFonts w:hint="eastAsia" w:ascii="仿宋" w:hAnsi="仿宋" w:eastAsia="仿宋" w:cs="仿宋"/>
          <w:b w:val="0"/>
          <w:bCs w:val="0"/>
          <w:caps/>
          <w:kern w:val="2"/>
          <w:sz w:val="28"/>
          <w:szCs w:val="28"/>
          <w:lang w:val="en-US" w:eastAsia="zh-CN" w:bidi="ar-SA"/>
        </w:rPr>
        <w:t>天全县基本情况</w:t>
      </w:r>
      <w:bookmarkEnd w:id="6"/>
    </w:p>
    <w:p w14:paraId="16A5DBD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bookmarkStart w:id="16" w:name="_Toc26494"/>
      <w:r>
        <w:rPr>
          <w:rFonts w:hint="eastAsia" w:ascii="仿宋" w:hAnsi="仿宋" w:eastAsia="仿宋" w:cs="仿宋"/>
          <w:b w:val="0"/>
          <w:bCs w:val="0"/>
          <w:caps/>
          <w:kern w:val="2"/>
          <w:sz w:val="28"/>
          <w:szCs w:val="28"/>
          <w:lang w:val="en-US" w:eastAsia="zh-CN" w:bidi="ar-SA"/>
        </w:rPr>
        <w:t>天全县位于四川盆地西部边缘，地处二郎山东麓，邛崃山脉南段，康巴文化线东端。东西长约60公里，南北宽约50公里，全县幅员面积2400平方公里，辖10个乡镇，总人口14万余人。天全属亚热带季风气候，温暖多雨，全年降水量达1576.1毫米，平均气温15.3摄氏度，年均日照数928.6小时，无霜期为241天，空气质量达国家一级标准，水质达国家二级标准。</w:t>
      </w:r>
    </w:p>
    <w:p w14:paraId="4A94F9E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天全县历史悠久，古有“西南锁钥、南诏咽喉”之称，是长江中上游重要的天然生态屏障，被誉为四川西南民族走廊、生态走廊。天全县先后荣获“全国生态建设示范县”“全国退耕还林还草示范县”“全国首批天然草原恢复与建设示范县”“县域经济发展模范县”等称号。</w:t>
      </w:r>
    </w:p>
    <w:p w14:paraId="68A30D7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2019年，被省委、省政府表扬为全省脱贫攻坚先进县、全省维护社会稳定先进县。</w:t>
      </w:r>
    </w:p>
    <w:p w14:paraId="321C063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2020年荣获“国家卫生县城”称号。</w:t>
      </w:r>
    </w:p>
    <w:p w14:paraId="6FFDC5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2021年入选“国家生态文明建设示范区”，入选“第二批省级生态环境建设试点城市”。</w:t>
      </w:r>
    </w:p>
    <w:p w14:paraId="53440A8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2023年天全县地区生产总值（GDP）930843万元，按可比价格计算，比上年增长6.1%。其中，第一产业增加值157786万元，增长4.0%；第二产业增加值295228万元，增长5.5%；第三产业增加值477829万元，增长7.3%。三次产业对经济增长的贡献率分别为12.9%、28.0%和59.1%。人均地区生产总值70787元，增长6.1%。三次产业结构由2022年的18.2：32.5：49.3调整为17：31.7：51.3。</w:t>
      </w:r>
    </w:p>
    <w:p w14:paraId="271A0B9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bookmarkStart w:id="17" w:name="_Toc23669"/>
      <w:r>
        <w:rPr>
          <w:rFonts w:hint="eastAsia" w:ascii="仿宋" w:hAnsi="仿宋" w:eastAsia="仿宋" w:cs="仿宋"/>
          <w:b w:val="0"/>
          <w:bCs w:val="0"/>
          <w:caps/>
          <w:kern w:val="2"/>
          <w:sz w:val="28"/>
          <w:szCs w:val="28"/>
          <w:lang w:val="en-US" w:eastAsia="zh-CN" w:bidi="ar-SA"/>
        </w:rPr>
        <w:t>2.</w:t>
      </w:r>
      <w:bookmarkEnd w:id="16"/>
      <w:r>
        <w:rPr>
          <w:rFonts w:hint="eastAsia" w:ascii="仿宋" w:hAnsi="仿宋" w:eastAsia="仿宋" w:cs="仿宋"/>
          <w:b w:val="0"/>
          <w:bCs w:val="0"/>
          <w:caps/>
          <w:kern w:val="2"/>
          <w:sz w:val="28"/>
          <w:szCs w:val="28"/>
          <w:lang w:val="en-US" w:eastAsia="zh-CN" w:bidi="ar-SA"/>
        </w:rPr>
        <w:t>行业专项规划概况</w:t>
      </w:r>
      <w:bookmarkEnd w:id="17"/>
    </w:p>
    <w:p w14:paraId="193DB1C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2022年5月国务院办公厅发布《关于印发城市燃气管道等老化更新改造实施方案（2022—2025年）的通知》（国办发〔2022〕22号），方案中明确了城市燃气管道等老化更新改造对象，应为材质落后、使用年限较长、运行环境存在安全隐患、不符合相关标准规范的城市燃气、供水、排水、供热等老化管道和设施。各地要根据本地实际，立足全面解决安全隐患、防范化解风险，坚持保障安全、满足需求，科学确定更新改造标准。城市燃气老化管道和设施更新改造所选用材料、规格、技术等应符合相关规范标准要求，注重立足当前兼顾长远。结合更新改造同步在燃气管道重要节点安装智能化感知设备，完善智能监控系统，实现智慧运行，完善消防设施设备，增强防范火灾等事故能力。</w:t>
      </w:r>
    </w:p>
    <w:p w14:paraId="7A1B966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2023年9月，住房城乡建设部办公厅国家发展改革委办公厅发布《关于扎实推进城市燃气管道等老化更新改造工作的通知》（建办城函〔2023〕245号），要求各省、自治区住房城乡建设厅、发展改革委等全面贯彻党的二十大精神，坚持稳中求进工作总基调，完整、准确、全面贯彻新发展理念，统筹发展和安全，结合全国城镇燃气安全专项整治等工作，加快推进城市燃气管道等老化更新改造，精准补短板、强弱项，加快消除风险隐患、保障安全运行，全面提升燃气等市政基础设施本质安全水平，推进韧性城市建设，增强人民群众获得感、幸福感、安全感。</w:t>
      </w:r>
    </w:p>
    <w:p w14:paraId="3199BA1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雅安市天全县因当时建设开发经验及资金条件、规划设计水平、基础设施配套水平、建造水平等诸多历史原因限制，至今看来片区内燃气在诸多方面都存在着先天的不足，另外历经多年的使用后，目前多数社区的燃气设施等已过了使用年限，存在安全隐患。</w:t>
      </w:r>
    </w:p>
    <w:p w14:paraId="5ADBB0B4">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jc w:val="both"/>
        <w:textAlignment w:val="auto"/>
        <w:outlineLvl w:val="1"/>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（二）项目情况</w:t>
      </w:r>
      <w:bookmarkEnd w:id="7"/>
      <w:bookmarkEnd w:id="8"/>
      <w:bookmarkEnd w:id="9"/>
      <w:bookmarkEnd w:id="10"/>
      <w:bookmarkEnd w:id="11"/>
      <w:bookmarkEnd w:id="12"/>
      <w:bookmarkEnd w:id="13"/>
      <w:bookmarkEnd w:id="14"/>
    </w:p>
    <w:p w14:paraId="2257C715">
      <w:pPr>
        <w:pStyle w:val="5"/>
        <w:outlineLvl w:val="2"/>
        <w:rPr>
          <w:rFonts w:hint="eastAsia" w:ascii="仿宋" w:hAnsi="仿宋" w:eastAsia="仿宋" w:cs="仿宋"/>
          <w:b/>
          <w:bCs/>
          <w:sz w:val="32"/>
          <w:szCs w:val="32"/>
          <w:lang w:val="en-US" w:eastAsia="zh-CN"/>
        </w:rPr>
      </w:pPr>
      <w:bookmarkStart w:id="18" w:name="_Toc11692"/>
      <w:bookmarkStart w:id="19" w:name="_Toc7914"/>
      <w:bookmarkStart w:id="20" w:name="_Toc6078"/>
      <w:bookmarkStart w:id="21" w:name="_Toc21872"/>
      <w:bookmarkStart w:id="22" w:name="_Toc23988"/>
      <w:bookmarkStart w:id="23" w:name="_Toc14119"/>
      <w:bookmarkStart w:id="24" w:name="_Toc1064"/>
      <w:bookmarkStart w:id="25" w:name="_Toc9265"/>
      <w:r>
        <w:rPr>
          <w:rFonts w:hint="eastAsia" w:ascii="仿宋" w:hAnsi="仿宋" w:eastAsia="仿宋" w:cs="仿宋"/>
          <w:b/>
          <w:bCs/>
          <w:sz w:val="32"/>
          <w:szCs w:val="32"/>
          <w:lang w:val="en-US" w:eastAsia="zh-CN"/>
        </w:rPr>
        <w:t>1.参与主体</w:t>
      </w:r>
      <w:bookmarkEnd w:id="18"/>
      <w:bookmarkEnd w:id="19"/>
      <w:bookmarkEnd w:id="20"/>
      <w:bookmarkEnd w:id="21"/>
      <w:bookmarkEnd w:id="22"/>
      <w:bookmarkEnd w:id="23"/>
      <w:bookmarkEnd w:id="24"/>
      <w:bookmarkEnd w:id="25"/>
    </w:p>
    <w:p w14:paraId="113A2CF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bookmarkStart w:id="26" w:name="_Toc16934"/>
      <w:bookmarkStart w:id="27" w:name="_Toc14972"/>
      <w:bookmarkStart w:id="28" w:name="_Toc22356"/>
      <w:bookmarkStart w:id="29" w:name="_Toc6630"/>
      <w:bookmarkStart w:id="30" w:name="_Toc30046"/>
      <w:bookmarkStart w:id="31" w:name="_Toc10923"/>
      <w:bookmarkStart w:id="32" w:name="_Toc5326"/>
      <w:bookmarkStart w:id="33" w:name="_Toc9122"/>
      <w:bookmarkStart w:id="34" w:name="_Toc4294"/>
      <w:r>
        <w:rPr>
          <w:rFonts w:hint="eastAsia" w:ascii="仿宋" w:hAnsi="仿宋" w:eastAsia="仿宋" w:cs="仿宋"/>
          <w:b w:val="0"/>
          <w:bCs w:val="0"/>
          <w:caps/>
          <w:kern w:val="2"/>
          <w:sz w:val="28"/>
          <w:szCs w:val="28"/>
          <w:lang w:val="en-US" w:eastAsia="zh-CN" w:bidi="ar-SA"/>
        </w:rPr>
        <w:t>主管部门：天全县住房和城乡建设局</w:t>
      </w:r>
    </w:p>
    <w:p w14:paraId="5861E45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项目业主：天全县天睿能源开发有限责任公司。</w:t>
      </w:r>
    </w:p>
    <w:p w14:paraId="43A9EE2D">
      <w:pPr>
        <w:pageBreakBefore w:val="0"/>
        <w:numPr>
          <w:ilvl w:val="2"/>
          <w:numId w:val="0"/>
        </w:numPr>
        <w:tabs>
          <w:tab w:val="left" w:pos="0"/>
        </w:tabs>
        <w:kinsoku/>
        <w:wordWrap/>
        <w:overflowPunct/>
        <w:topLinePunct w:val="0"/>
        <w:bidi w:val="0"/>
        <w:spacing w:before="381" w:after="190" w:line="360" w:lineRule="auto"/>
        <w:ind w:firstLine="643" w:firstLineChars="200"/>
        <w:outlineLvl w:val="2"/>
        <w:rPr>
          <w:rFonts w:hint="eastAsia" w:ascii="仿宋" w:hAnsi="仿宋" w:eastAsia="仿宋" w:cs="仿宋"/>
          <w:b/>
          <w:bCs/>
          <w:kern w:val="0"/>
          <w:sz w:val="32"/>
          <w:szCs w:val="32"/>
          <w:highlight w:val="none"/>
          <w:lang w:val="en-US" w:eastAsia="zh-CN" w:bidi="ar-SA"/>
        </w:rPr>
      </w:pPr>
      <w:r>
        <w:rPr>
          <w:rFonts w:hint="eastAsia" w:ascii="仿宋" w:hAnsi="仿宋" w:eastAsia="仿宋" w:cs="仿宋"/>
          <w:b/>
          <w:bCs/>
          <w:kern w:val="0"/>
          <w:sz w:val="32"/>
          <w:szCs w:val="32"/>
          <w:highlight w:val="none"/>
          <w:lang w:val="en-US" w:eastAsia="zh-CN" w:bidi="ar-SA"/>
        </w:rPr>
        <w:t>2.项目概况</w:t>
      </w:r>
      <w:bookmarkEnd w:id="26"/>
      <w:bookmarkEnd w:id="27"/>
      <w:bookmarkEnd w:id="28"/>
      <w:bookmarkEnd w:id="29"/>
      <w:bookmarkEnd w:id="30"/>
      <w:bookmarkEnd w:id="31"/>
      <w:bookmarkEnd w:id="32"/>
      <w:bookmarkEnd w:id="33"/>
      <w:bookmarkEnd w:id="34"/>
    </w:p>
    <w:p w14:paraId="58BCA06C">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项目名称：天全县始阳片区燃气管网安全隐患治理及设施设备更新改造项目</w:t>
      </w:r>
    </w:p>
    <w:p w14:paraId="36097D5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default"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项目所属领域：市政基础设施</w:t>
      </w:r>
    </w:p>
    <w:p w14:paraId="30BB4E79">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项目建设工期：30个月</w:t>
      </w:r>
    </w:p>
    <w:p w14:paraId="1388E898">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default"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项目区位：天全县始阳镇</w:t>
      </w:r>
    </w:p>
    <w:p w14:paraId="68EF03D0">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rPr>
      </w:pPr>
      <w:r>
        <w:rPr>
          <w:rFonts w:hint="eastAsia" w:ascii="仿宋" w:hAnsi="仿宋" w:eastAsia="仿宋" w:cs="仿宋"/>
          <w:b w:val="0"/>
          <w:bCs w:val="0"/>
          <w:caps/>
          <w:kern w:val="2"/>
          <w:sz w:val="28"/>
          <w:szCs w:val="28"/>
          <w:lang w:val="en-US" w:eastAsia="zh-CN" w:bidi="ar-SA"/>
        </w:rPr>
        <w:t>项目说明：本项目为新建工程，本项目资产无抵押或质押情况。</w:t>
      </w:r>
    </w:p>
    <w:p w14:paraId="4B1F244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建设内容：</w:t>
      </w:r>
      <w:bookmarkEnd w:id="15"/>
      <w:bookmarkStart w:id="35" w:name="_Toc523481534"/>
      <w:bookmarkStart w:id="36" w:name="_Toc522211065"/>
      <w:bookmarkStart w:id="37" w:name="_Toc533440322"/>
      <w:bookmarkStart w:id="38" w:name="_Toc1720132"/>
      <w:bookmarkStart w:id="39" w:name="_Toc1403"/>
      <w:r>
        <w:rPr>
          <w:rFonts w:hint="eastAsia" w:ascii="仿宋" w:hAnsi="仿宋" w:eastAsia="仿宋" w:cs="仿宋"/>
          <w:b w:val="0"/>
          <w:bCs w:val="0"/>
          <w:caps/>
          <w:kern w:val="2"/>
          <w:sz w:val="28"/>
          <w:szCs w:val="28"/>
          <w:lang w:val="en-US" w:eastAsia="zh-CN" w:bidi="ar-SA"/>
        </w:rPr>
        <w:t>对天全县始阳片区新村社区、兴中社区、新民社区、乐坝社区、 盐店社区、大坪社区、凤翔社区、多功社区等社区周边燃气管网地质灾害及隐患点治理约148处、户内燃气管道隐患治理及改造约7362户、场站设施隐患治理及改造1座、老旧燃气表更新约4505台、市政管网更新改造约15.27km等。</w:t>
      </w:r>
    </w:p>
    <w:p w14:paraId="7018C88A">
      <w:pPr>
        <w:numPr>
          <w:ilvl w:val="0"/>
          <w:numId w:val="0"/>
        </w:numPr>
        <w:spacing w:beforeLines="50" w:afterLines="50" w:line="360" w:lineRule="auto"/>
        <w:jc w:val="both"/>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二、经济社会效益分析</w:t>
      </w:r>
      <w:bookmarkEnd w:id="35"/>
      <w:bookmarkEnd w:id="36"/>
      <w:bookmarkEnd w:id="37"/>
      <w:bookmarkEnd w:id="38"/>
      <w:bookmarkEnd w:id="39"/>
    </w:p>
    <w:p w14:paraId="52BBBEF0">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bookmarkStart w:id="40" w:name="_Toc522211066"/>
      <w:bookmarkStart w:id="41" w:name="_Toc1720133"/>
      <w:bookmarkStart w:id="42" w:name="_Toc533440323"/>
      <w:bookmarkStart w:id="43" w:name="_Toc17794"/>
      <w:bookmarkStart w:id="44" w:name="_Toc523481535"/>
      <w:r>
        <w:rPr>
          <w:rFonts w:hint="eastAsia" w:ascii="仿宋" w:hAnsi="仿宋" w:eastAsia="仿宋" w:cs="仿宋"/>
          <w:b/>
          <w:bCs/>
          <w:sz w:val="32"/>
          <w:szCs w:val="32"/>
          <w:lang w:val="en-US"/>
        </w:rPr>
        <w:t>（一）经济效益分析</w:t>
      </w:r>
      <w:bookmarkEnd w:id="40"/>
      <w:bookmarkEnd w:id="41"/>
      <w:bookmarkEnd w:id="42"/>
      <w:bookmarkEnd w:id="43"/>
      <w:bookmarkEnd w:id="44"/>
    </w:p>
    <w:p w14:paraId="7FA4BF96">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bookmarkStart w:id="45" w:name="_Toc523481538"/>
      <w:bookmarkStart w:id="46" w:name="_Toc523157055"/>
      <w:bookmarkStart w:id="47" w:name="_Toc533440326"/>
      <w:bookmarkStart w:id="48" w:name="_Toc1720136"/>
      <w:bookmarkStart w:id="49" w:name="_Toc23271"/>
      <w:r>
        <w:rPr>
          <w:rFonts w:hint="eastAsia" w:ascii="仿宋" w:hAnsi="仿宋" w:eastAsia="仿宋" w:cs="仿宋"/>
          <w:b w:val="0"/>
          <w:bCs w:val="0"/>
          <w:kern w:val="2"/>
          <w:sz w:val="28"/>
          <w:szCs w:val="28"/>
          <w:lang w:val="en-US" w:eastAsia="zh-CN" w:bidi="ar-SA"/>
        </w:rPr>
        <w:t>（1）促进有效投资与扩大国内需求</w:t>
      </w:r>
    </w:p>
    <w:p w14:paraId="65802E17">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燃气管网老化更新改造需要大量的资金投入，这不仅可以促进有效的投资，还能进一步扩大国内需求。随着资金的投入，将带动相关产业链的发展，如管道材料、施工设备、技术服务等领域的需求增长。</w:t>
      </w:r>
    </w:p>
    <w:p w14:paraId="796E7D17">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（2）提高城市能源供应的可靠性和安全性</w:t>
      </w:r>
    </w:p>
    <w:p w14:paraId="4E5B17B6">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更新改造老化的燃气管网可以显著提高城市能源供应的可靠性和安全性，降低因管道老化导致的能源供应中断和事故风险。这将有助于维护城市经济的稳定运行，避免因能源供应问题导致的经济损失。</w:t>
      </w:r>
    </w:p>
    <w:p w14:paraId="313FD361">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（3）促进城市经济的发展和转型</w:t>
      </w:r>
    </w:p>
    <w:p w14:paraId="35034B3A">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燃气管网的建设和运营需要大量投资和技术支持，这将带动相关产业的发展和壮大，如管道制造、施工安装、运营管理等领域。同时，清洁能源的使用也将推动城市经济的绿色转型和升级。</w:t>
      </w:r>
    </w:p>
    <w:p w14:paraId="124CC76A">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（4）提高城市环境质量和健康水平</w:t>
      </w:r>
    </w:p>
    <w:p w14:paraId="551FB085">
      <w:pPr>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燃气管网作为一种清洁、低碳的能源供应方式，可以有效地降低城市环境的污染和碳排放。这将有助于提高城市环境的质量和健康水平，为城市居民提供更好的生活环境。同时，也有利于推动城市可持续发展的进程。</w:t>
      </w:r>
    </w:p>
    <w:p w14:paraId="2C313257">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val="en-US"/>
        </w:rPr>
        <w:t>社会效益分析</w:t>
      </w:r>
      <w:bookmarkEnd w:id="45"/>
      <w:bookmarkEnd w:id="46"/>
      <w:bookmarkEnd w:id="47"/>
      <w:bookmarkEnd w:id="48"/>
      <w:bookmarkEnd w:id="49"/>
    </w:p>
    <w:p w14:paraId="4B93EE7C">
      <w:pPr>
        <w:numPr>
          <w:ilvl w:val="0"/>
          <w:numId w:val="0"/>
        </w:numPr>
        <w:spacing w:beforeLines="50" w:afterLines="50" w:line="360" w:lineRule="auto"/>
        <w:ind w:firstLine="560" w:firstLineChars="200"/>
        <w:jc w:val="both"/>
        <w:outlineLvl w:val="9"/>
        <w:rPr>
          <w:rFonts w:hint="eastAsia" w:ascii="仿宋" w:hAnsi="仿宋" w:eastAsia="仿宋" w:cs="仿宋"/>
          <w:b w:val="0"/>
          <w:bCs w:val="0"/>
          <w:kern w:val="2"/>
          <w:sz w:val="28"/>
          <w:szCs w:val="28"/>
          <w:lang w:val="en-US" w:eastAsia="zh-CN" w:bidi="ar-SA"/>
        </w:rPr>
      </w:pPr>
      <w:bookmarkStart w:id="50" w:name="_Toc19320"/>
      <w:r>
        <w:rPr>
          <w:rFonts w:hint="eastAsia" w:ascii="仿宋" w:hAnsi="仿宋" w:eastAsia="仿宋" w:cs="仿宋"/>
          <w:b w:val="0"/>
          <w:bCs w:val="0"/>
          <w:kern w:val="2"/>
          <w:sz w:val="28"/>
          <w:szCs w:val="28"/>
          <w:lang w:val="en-US" w:eastAsia="zh-CN" w:bidi="ar-SA"/>
        </w:rPr>
        <w:t>该项目的建设按照受益对象划分，可以分为国家效益、集体效益、个人效益等。从国家效益来看，项目无疑会对天全县的经济建设起到推动作用，改善基础配套设施，改善人民的生活质量。所以，从国家及集体利益来看，项目不但非常适应，而且还应大力支持。从个人来看，项目的建设促进了当地的经济发展，对于天全县的基础配套设施改善和提升的进程起着积极的作用，广大人民群众对于本项目的欢迎与支持将是广泛的。</w:t>
      </w:r>
    </w:p>
    <w:p w14:paraId="14B3A412">
      <w:pPr>
        <w:numPr>
          <w:ilvl w:val="0"/>
          <w:numId w:val="0"/>
        </w:numPr>
        <w:spacing w:beforeLines="50" w:afterLines="50" w:line="360" w:lineRule="auto"/>
        <w:jc w:val="both"/>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三、项目投资估算与资金筹措方案</w:t>
      </w:r>
      <w:bookmarkEnd w:id="50"/>
    </w:p>
    <w:p w14:paraId="6AFCAFDE">
      <w:pPr>
        <w:spacing w:beforeLines="50" w:afterLines="50" w:line="360" w:lineRule="auto"/>
        <w:outlineLvl w:val="1"/>
        <w:rPr>
          <w:rFonts w:hint="eastAsia" w:ascii="仿宋" w:hAnsi="仿宋" w:eastAsia="仿宋" w:cs="仿宋"/>
          <w:b/>
          <w:bCs/>
          <w:sz w:val="32"/>
          <w:szCs w:val="32"/>
        </w:rPr>
      </w:pPr>
      <w:bookmarkStart w:id="51" w:name="_Toc522211078"/>
      <w:bookmarkStart w:id="52" w:name="_Toc523481542"/>
      <w:bookmarkStart w:id="53" w:name="_Toc5108"/>
      <w:bookmarkStart w:id="54" w:name="_Toc523157062"/>
      <w:bookmarkStart w:id="55" w:name="_Toc1720145"/>
      <w:bookmarkStart w:id="56" w:name="_Toc533440335"/>
      <w:r>
        <w:rPr>
          <w:rFonts w:hint="eastAsia" w:ascii="仿宋" w:hAnsi="仿宋" w:eastAsia="仿宋" w:cs="仿宋"/>
          <w:b/>
          <w:bCs/>
          <w:sz w:val="32"/>
          <w:szCs w:val="32"/>
        </w:rPr>
        <w:t>（一）投资估算</w:t>
      </w:r>
      <w:bookmarkEnd w:id="51"/>
      <w:bookmarkEnd w:id="52"/>
      <w:bookmarkEnd w:id="53"/>
      <w:bookmarkEnd w:id="54"/>
      <w:bookmarkEnd w:id="55"/>
      <w:bookmarkEnd w:id="56"/>
    </w:p>
    <w:p w14:paraId="5A3A90A4">
      <w:pPr>
        <w:spacing w:beforeLines="50" w:afterLines="50" w:line="360" w:lineRule="auto"/>
        <w:ind w:firstLine="560" w:firstLineChars="200"/>
        <w:outlineLvl w:val="9"/>
        <w:rPr>
          <w:rFonts w:hint="eastAsia" w:ascii="仿宋" w:hAnsi="仿宋" w:eastAsia="仿宋" w:cs="仿宋"/>
          <w:kern w:val="2"/>
          <w:sz w:val="28"/>
          <w:szCs w:val="32"/>
          <w:lang w:val="en-US" w:eastAsia="zh-CN" w:bidi="ar-SA"/>
        </w:rPr>
      </w:pPr>
      <w:bookmarkStart w:id="57" w:name="_Toc23109"/>
      <w:r>
        <w:rPr>
          <w:rFonts w:hint="eastAsia" w:ascii="仿宋" w:hAnsi="仿宋" w:eastAsia="仿宋" w:cs="仿宋"/>
          <w:kern w:val="2"/>
          <w:sz w:val="28"/>
          <w:szCs w:val="32"/>
          <w:lang w:val="en-US" w:eastAsia="zh-CN" w:bidi="ar-SA"/>
        </w:rPr>
        <w:t>本项目总投资为8667.00万元，其中：</w:t>
      </w:r>
    </w:p>
    <w:p w14:paraId="5EFC099D">
      <w:pPr>
        <w:spacing w:beforeLines="50" w:afterLines="50" w:line="360" w:lineRule="auto"/>
        <w:ind w:firstLine="560" w:firstLineChars="200"/>
        <w:outlineLvl w:val="9"/>
        <w:rPr>
          <w:rFonts w:hint="eastAsia" w:ascii="仿宋" w:hAnsi="仿宋" w:eastAsia="仿宋" w:cs="仿宋"/>
          <w:kern w:val="2"/>
          <w:sz w:val="28"/>
          <w:szCs w:val="32"/>
          <w:lang w:val="en-US" w:eastAsia="zh-CN" w:bidi="ar-SA"/>
        </w:rPr>
      </w:pPr>
      <w:r>
        <w:rPr>
          <w:rFonts w:hint="eastAsia" w:ascii="仿宋" w:hAnsi="仿宋" w:eastAsia="仿宋" w:cs="仿宋"/>
          <w:kern w:val="2"/>
          <w:sz w:val="28"/>
          <w:szCs w:val="32"/>
          <w:lang w:val="en-US" w:eastAsia="zh-CN" w:bidi="ar-SA"/>
        </w:rPr>
        <w:t>（1）第一部分工程费用为6890.89万元；</w:t>
      </w:r>
    </w:p>
    <w:p w14:paraId="3972783A">
      <w:pPr>
        <w:spacing w:beforeLines="50" w:afterLines="50" w:line="360" w:lineRule="auto"/>
        <w:ind w:firstLine="560" w:firstLineChars="200"/>
        <w:outlineLvl w:val="9"/>
        <w:rPr>
          <w:rFonts w:hint="eastAsia" w:ascii="仿宋" w:hAnsi="仿宋" w:eastAsia="仿宋" w:cs="仿宋"/>
          <w:kern w:val="2"/>
          <w:sz w:val="28"/>
          <w:szCs w:val="32"/>
          <w:lang w:val="en-US" w:eastAsia="zh-CN" w:bidi="ar-SA"/>
        </w:rPr>
      </w:pPr>
      <w:r>
        <w:rPr>
          <w:rFonts w:hint="eastAsia" w:ascii="仿宋" w:hAnsi="仿宋" w:eastAsia="仿宋" w:cs="仿宋"/>
          <w:kern w:val="2"/>
          <w:sz w:val="28"/>
          <w:szCs w:val="32"/>
          <w:lang w:val="en-US" w:eastAsia="zh-CN" w:bidi="ar-SA"/>
        </w:rPr>
        <w:t>（2）第二部分工程建设其他费878.93万元；</w:t>
      </w:r>
    </w:p>
    <w:p w14:paraId="0FD88CB0">
      <w:pPr>
        <w:spacing w:beforeLines="50" w:afterLines="50" w:line="360" w:lineRule="auto"/>
        <w:ind w:firstLine="560" w:firstLineChars="200"/>
        <w:outlineLvl w:val="9"/>
        <w:rPr>
          <w:rFonts w:hint="eastAsia" w:ascii="仿宋" w:hAnsi="仿宋" w:eastAsia="仿宋" w:cs="仿宋"/>
          <w:kern w:val="2"/>
          <w:sz w:val="28"/>
          <w:szCs w:val="32"/>
          <w:lang w:val="en-US" w:eastAsia="zh-CN" w:bidi="ar-SA"/>
        </w:rPr>
      </w:pPr>
      <w:r>
        <w:rPr>
          <w:rFonts w:hint="eastAsia" w:ascii="仿宋" w:hAnsi="仿宋" w:eastAsia="仿宋" w:cs="仿宋"/>
          <w:kern w:val="2"/>
          <w:sz w:val="28"/>
          <w:szCs w:val="32"/>
          <w:lang w:val="en-US" w:eastAsia="zh-CN" w:bidi="ar-SA"/>
        </w:rPr>
        <w:t>（3）第三部分预备费为598.18万元；</w:t>
      </w:r>
    </w:p>
    <w:p w14:paraId="3007882C">
      <w:pPr>
        <w:spacing w:beforeLines="50" w:afterLines="50" w:line="360" w:lineRule="auto"/>
        <w:ind w:firstLine="560" w:firstLineChars="200"/>
        <w:outlineLvl w:val="9"/>
        <w:rPr>
          <w:rFonts w:hint="eastAsia" w:ascii="仿宋" w:hAnsi="仿宋" w:eastAsia="仿宋" w:cs="仿宋"/>
          <w:kern w:val="2"/>
          <w:sz w:val="28"/>
          <w:szCs w:val="32"/>
          <w:lang w:val="en-US" w:eastAsia="zh-CN" w:bidi="ar-SA"/>
        </w:rPr>
      </w:pPr>
      <w:r>
        <w:rPr>
          <w:rFonts w:hint="eastAsia" w:ascii="仿宋" w:hAnsi="仿宋" w:eastAsia="仿宋" w:cs="仿宋"/>
          <w:kern w:val="2"/>
          <w:sz w:val="28"/>
          <w:szCs w:val="32"/>
          <w:lang w:val="en-US" w:eastAsia="zh-CN" w:bidi="ar-SA"/>
        </w:rPr>
        <w:t>（4）第四部分专项债利息为294.50</w:t>
      </w:r>
      <w:bookmarkStart w:id="94" w:name="_GoBack"/>
      <w:bookmarkEnd w:id="94"/>
      <w:r>
        <w:rPr>
          <w:rFonts w:hint="eastAsia" w:ascii="仿宋" w:hAnsi="仿宋" w:eastAsia="仿宋" w:cs="仿宋"/>
          <w:kern w:val="2"/>
          <w:sz w:val="28"/>
          <w:szCs w:val="32"/>
          <w:lang w:val="en-US" w:eastAsia="zh-CN" w:bidi="ar-SA"/>
        </w:rPr>
        <w:t>万元。</w:t>
      </w:r>
    </w:p>
    <w:p w14:paraId="64DF5CC0">
      <w:pPr>
        <w:spacing w:beforeLines="50" w:afterLines="50" w:line="360" w:lineRule="auto"/>
        <w:ind w:firstLine="560" w:firstLineChars="200"/>
        <w:outlineLvl w:val="9"/>
        <w:rPr>
          <w:rFonts w:hint="eastAsia" w:ascii="仿宋" w:hAnsi="仿宋" w:eastAsia="仿宋" w:cs="仿宋"/>
          <w:sz w:val="28"/>
          <w:szCs w:val="28"/>
        </w:rPr>
      </w:pPr>
      <w:r>
        <w:rPr>
          <w:rFonts w:hint="eastAsia" w:ascii="仿宋" w:hAnsi="仿宋" w:eastAsia="仿宋" w:cs="仿宋"/>
          <w:kern w:val="2"/>
          <w:sz w:val="28"/>
          <w:szCs w:val="32"/>
          <w:lang w:val="en-US" w:eastAsia="zh-CN" w:bidi="ar-SA"/>
        </w:rPr>
        <w:t>（5）第五部分专项债发行费用4.50万元。</w:t>
      </w:r>
    </w:p>
    <w:p w14:paraId="31C66737">
      <w:pPr>
        <w:spacing w:beforeLines="50" w:afterLines="50" w:line="360" w:lineRule="auto"/>
        <w:outlineLvl w:val="1"/>
        <w:rPr>
          <w:rFonts w:hint="eastAsia" w:ascii="仿宋" w:hAnsi="仿宋" w:eastAsia="仿宋" w:cs="仿宋"/>
          <w:b/>
          <w:bCs/>
          <w:sz w:val="32"/>
          <w:szCs w:val="32"/>
        </w:rPr>
      </w:pPr>
      <w:r>
        <w:rPr>
          <w:rFonts w:hint="eastAsia" w:ascii="仿宋" w:hAnsi="仿宋" w:eastAsia="仿宋" w:cs="仿宋"/>
          <w:b/>
          <w:bCs/>
          <w:sz w:val="32"/>
          <w:szCs w:val="32"/>
        </w:rPr>
        <w:t>（二）资金筹措方案</w:t>
      </w:r>
      <w:bookmarkEnd w:id="57"/>
    </w:p>
    <w:p w14:paraId="412587B9">
      <w:pPr>
        <w:numPr>
          <w:ilvl w:val="2"/>
          <w:numId w:val="0"/>
        </w:numPr>
        <w:spacing w:before="240" w:after="120"/>
        <w:ind w:firstLine="643" w:firstLineChars="200"/>
        <w:outlineLvl w:val="2"/>
        <w:rPr>
          <w:rFonts w:hint="eastAsia" w:ascii="仿宋" w:hAnsi="仿宋" w:eastAsia="仿宋" w:cs="仿宋"/>
          <w:b/>
          <w:bCs/>
          <w:sz w:val="32"/>
          <w:szCs w:val="32"/>
        </w:rPr>
      </w:pPr>
      <w:bookmarkStart w:id="58" w:name="_Toc523157067"/>
      <w:bookmarkStart w:id="59" w:name="_Toc19703"/>
      <w:bookmarkStart w:id="60" w:name="_Toc533440340"/>
      <w:bookmarkStart w:id="61" w:name="_Toc20821"/>
      <w:bookmarkStart w:id="62" w:name="_Toc1720150"/>
      <w:bookmarkStart w:id="63" w:name="_Toc523481547"/>
      <w:bookmarkStart w:id="64" w:name="_Toc522211083"/>
      <w:r>
        <w:rPr>
          <w:rFonts w:hint="eastAsia" w:ascii="仿宋" w:hAnsi="仿宋" w:eastAsia="仿宋" w:cs="仿宋"/>
          <w:b/>
          <w:bCs/>
          <w:sz w:val="32"/>
          <w:szCs w:val="32"/>
        </w:rPr>
        <w:t>1.资金来源</w:t>
      </w:r>
      <w:bookmarkEnd w:id="58"/>
      <w:bookmarkEnd w:id="59"/>
      <w:bookmarkEnd w:id="60"/>
      <w:bookmarkEnd w:id="61"/>
      <w:bookmarkEnd w:id="62"/>
      <w:bookmarkEnd w:id="63"/>
      <w:bookmarkEnd w:id="64"/>
    </w:p>
    <w:p w14:paraId="10680D80">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r>
        <w:rPr>
          <w:rFonts w:hint="eastAsia" w:ascii="仿宋" w:hAnsi="仿宋" w:eastAsia="仿宋" w:cs="仿宋"/>
          <w:sz w:val="28"/>
          <w:szCs w:val="28"/>
          <w:lang w:val="en-US" w:eastAsia="zh-CN" w:bidi="ar-SA"/>
        </w:rPr>
        <w:t>本项目总投资</w:t>
      </w:r>
      <w:r>
        <w:rPr>
          <w:rFonts w:hint="eastAsia" w:ascii="仿宋" w:hAnsi="仿宋" w:eastAsia="仿宋" w:cs="仿宋"/>
          <w:kern w:val="2"/>
          <w:sz w:val="28"/>
          <w:szCs w:val="32"/>
          <w:lang w:val="en-US" w:eastAsia="zh-CN" w:bidi="ar-SA"/>
        </w:rPr>
        <w:t>8667.00</w:t>
      </w:r>
      <w:r>
        <w:rPr>
          <w:rFonts w:hint="eastAsia" w:ascii="仿宋" w:hAnsi="仿宋" w:eastAsia="仿宋" w:cs="仿宋"/>
          <w:sz w:val="28"/>
          <w:szCs w:val="28"/>
          <w:lang w:val="en-US" w:eastAsia="zh-CN" w:bidi="ar-SA"/>
        </w:rPr>
        <w:t>万元，企业自筹资金4167.00万元作为资本金，剩余4500.00万元通过发行地方政府专项债券予以筹集，其中：第一年发行2000.00万元，第二年发行1500.00万元，第三年发行1000.00万元，发行期限20年，发行利率3.80%。</w:t>
      </w:r>
    </w:p>
    <w:p w14:paraId="2ABD12A0">
      <w:pPr>
        <w:numPr>
          <w:ilvl w:val="0"/>
          <w:numId w:val="0"/>
        </w:numPr>
        <w:spacing w:before="240" w:after="120"/>
        <w:ind w:leftChars="0" w:firstLine="643" w:firstLineChars="200"/>
        <w:outlineLvl w:val="2"/>
        <w:rPr>
          <w:rFonts w:hint="eastAsia" w:ascii="仿宋" w:hAnsi="仿宋" w:eastAsia="仿宋" w:cs="仿宋"/>
          <w:b/>
          <w:bCs/>
          <w:sz w:val="32"/>
          <w:szCs w:val="32"/>
        </w:rPr>
      </w:pPr>
      <w:bookmarkStart w:id="65" w:name="_Toc533440342"/>
      <w:bookmarkStart w:id="66" w:name="_Toc523481549"/>
      <w:bookmarkStart w:id="67" w:name="_Toc523157069"/>
      <w:bookmarkStart w:id="68" w:name="_Toc25776"/>
      <w:bookmarkStart w:id="69" w:name="_Toc1720152"/>
      <w:r>
        <w:rPr>
          <w:rFonts w:hint="eastAsia" w:ascii="仿宋" w:hAnsi="仿宋" w:eastAsia="仿宋" w:cs="仿宋"/>
          <w:b/>
          <w:bCs/>
          <w:sz w:val="32"/>
          <w:szCs w:val="32"/>
          <w:lang w:val="en-US" w:eastAsia="zh-CN"/>
        </w:rPr>
        <w:t>2.</w:t>
      </w:r>
      <w:r>
        <w:rPr>
          <w:rFonts w:hint="eastAsia" w:ascii="仿宋" w:hAnsi="仿宋" w:eastAsia="仿宋" w:cs="仿宋"/>
          <w:b/>
          <w:bCs/>
          <w:sz w:val="32"/>
          <w:szCs w:val="32"/>
        </w:rPr>
        <w:t>资金使用计划</w:t>
      </w:r>
      <w:bookmarkEnd w:id="65"/>
      <w:bookmarkEnd w:id="66"/>
      <w:bookmarkEnd w:id="67"/>
      <w:bookmarkEnd w:id="68"/>
      <w:bookmarkEnd w:id="69"/>
    </w:p>
    <w:p w14:paraId="555F94BC">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bookmarkStart w:id="70" w:name="_Toc9196"/>
      <w:r>
        <w:rPr>
          <w:rFonts w:hint="eastAsia" w:ascii="仿宋" w:hAnsi="仿宋" w:eastAsia="仿宋" w:cs="仿宋"/>
          <w:color w:val="auto"/>
          <w:kern w:val="2"/>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70076B88">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四、项目预期收益、成本及融资平衡情况</w:t>
      </w:r>
      <w:bookmarkEnd w:id="70"/>
    </w:p>
    <w:p w14:paraId="4185AE1E">
      <w:pPr>
        <w:spacing w:beforeLines="50" w:afterLines="50" w:line="360" w:lineRule="auto"/>
        <w:outlineLvl w:val="1"/>
        <w:rPr>
          <w:rFonts w:hint="eastAsia" w:ascii="仿宋" w:hAnsi="仿宋" w:eastAsia="仿宋" w:cs="仿宋"/>
          <w:b/>
          <w:bCs/>
          <w:sz w:val="32"/>
          <w:szCs w:val="32"/>
        </w:rPr>
      </w:pPr>
      <w:bookmarkStart w:id="71" w:name="_Toc523157072"/>
      <w:bookmarkStart w:id="72" w:name="_Toc522211088"/>
      <w:bookmarkStart w:id="73" w:name="_Toc27170"/>
      <w:bookmarkStart w:id="74" w:name="_Toc1720155"/>
      <w:bookmarkStart w:id="75" w:name="_Toc523481552"/>
      <w:bookmarkStart w:id="76" w:name="_Toc533440345"/>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预期收益</w:t>
      </w:r>
      <w:bookmarkEnd w:id="71"/>
      <w:bookmarkEnd w:id="72"/>
      <w:bookmarkEnd w:id="73"/>
      <w:bookmarkEnd w:id="74"/>
      <w:bookmarkEnd w:id="75"/>
      <w:bookmarkEnd w:id="76"/>
    </w:p>
    <w:p w14:paraId="3958A29F">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1.项目收入预测</w:t>
      </w:r>
    </w:p>
    <w:p w14:paraId="11D5AD04">
      <w:pPr>
        <w:spacing w:beforeLines="50" w:afterLines="50" w:line="360" w:lineRule="auto"/>
        <w:ind w:firstLine="562" w:firstLineChars="200"/>
        <w:jc w:val="both"/>
        <w:outlineLvl w:val="9"/>
        <w:rPr>
          <w:rStyle w:val="26"/>
          <w:rFonts w:hint="eastAsia" w:ascii="仿宋" w:hAnsi="仿宋" w:eastAsia="仿宋" w:cs="仿宋"/>
          <w:b/>
          <w:bCs/>
          <w:caps w:val="0"/>
          <w:kern w:val="0"/>
          <w:sz w:val="28"/>
          <w:szCs w:val="28"/>
          <w:lang w:val="en-US" w:eastAsia="zh-CN" w:bidi="ar-SA"/>
        </w:rPr>
      </w:pPr>
      <w:r>
        <w:rPr>
          <w:rStyle w:val="26"/>
          <w:rFonts w:hint="eastAsia" w:ascii="仿宋" w:hAnsi="仿宋" w:eastAsia="仿宋" w:cs="仿宋"/>
          <w:b/>
          <w:bCs/>
          <w:lang w:val="en-US" w:eastAsia="zh-CN"/>
        </w:rPr>
        <w:t>本项目收入来源</w:t>
      </w:r>
      <w:r>
        <w:rPr>
          <w:rStyle w:val="26"/>
          <w:rFonts w:hint="eastAsia" w:ascii="仿宋" w:hAnsi="仿宋" w:eastAsia="仿宋" w:cs="仿宋"/>
          <w:lang w:val="en-US" w:eastAsia="zh-CN"/>
        </w:rPr>
        <w:t>：</w:t>
      </w:r>
      <w:r>
        <w:rPr>
          <w:rFonts w:hint="eastAsia" w:ascii="仿宋" w:hAnsi="仿宋" w:eastAsia="仿宋" w:cs="仿宋"/>
          <w:sz w:val="28"/>
          <w:szCs w:val="28"/>
          <w:lang w:val="en-US" w:eastAsia="zh-CN" w:bidi="ar-SA"/>
        </w:rPr>
        <w:t>天然气销售收入。</w:t>
      </w:r>
    </w:p>
    <w:p w14:paraId="62B1B425">
      <w:pPr>
        <w:pStyle w:val="21"/>
        <w:bidi w:val="0"/>
        <w:outlineLvl w:val="9"/>
        <w:rPr>
          <w:rFonts w:hint="eastAsia" w:ascii="仿宋" w:hAnsi="仿宋" w:eastAsia="仿宋" w:cs="仿宋"/>
          <w:lang w:val="en-US" w:eastAsia="zh-CN"/>
        </w:rPr>
      </w:pPr>
      <w:r>
        <w:rPr>
          <w:rFonts w:hint="eastAsia" w:ascii="仿宋" w:hAnsi="仿宋" w:eastAsia="仿宋" w:cs="仿宋"/>
          <w:lang w:val="en-US" w:eastAsia="zh-CN"/>
        </w:rPr>
        <w:t>根据分析可对本项目债券期限内项目收入进行测算。项目计算期内预计总收入为</w:t>
      </w:r>
      <w:r>
        <w:rPr>
          <w:rFonts w:hint="eastAsia" w:ascii="仿宋" w:hAnsi="仿宋" w:cs="仿宋"/>
          <w:sz w:val="28"/>
          <w:szCs w:val="28"/>
          <w:lang w:val="en-US" w:eastAsia="zh-CN" w:bidi="ar-SA"/>
        </w:rPr>
        <w:t>16710.91</w:t>
      </w:r>
      <w:r>
        <w:rPr>
          <w:rFonts w:hint="eastAsia" w:ascii="仿宋" w:hAnsi="仿宋" w:eastAsia="仿宋" w:cs="仿宋"/>
          <w:lang w:val="en-US" w:eastAsia="zh-CN"/>
        </w:rPr>
        <w:t>万元。</w:t>
      </w:r>
    </w:p>
    <w:p w14:paraId="074E4EF6">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2.成本预测</w:t>
      </w:r>
    </w:p>
    <w:p w14:paraId="5F4BA107">
      <w:pPr>
        <w:spacing w:beforeLines="50" w:afterLines="50" w:line="360" w:lineRule="auto"/>
        <w:ind w:firstLine="560" w:firstLineChars="200"/>
        <w:outlineLvl w:val="9"/>
        <w:rPr>
          <w:rFonts w:hint="eastAsia" w:ascii="仿宋" w:hAnsi="仿宋" w:eastAsia="仿宋" w:cs="仿宋"/>
          <w:sz w:val="28"/>
          <w:szCs w:val="28"/>
          <w:lang w:val="en-US" w:eastAsia="zh-CN"/>
        </w:rPr>
      </w:pPr>
      <w:bookmarkStart w:id="77" w:name="_Toc373"/>
      <w:r>
        <w:rPr>
          <w:rFonts w:hint="eastAsia" w:ascii="仿宋" w:hAnsi="仿宋" w:eastAsia="仿宋" w:cs="仿宋"/>
          <w:sz w:val="28"/>
          <w:szCs w:val="28"/>
          <w:lang w:val="en-GB" w:eastAsia="zh-CN" w:bidi="ar-SA"/>
        </w:rPr>
        <w:t>本项目</w:t>
      </w:r>
      <w:r>
        <w:rPr>
          <w:rFonts w:hint="eastAsia" w:ascii="仿宋" w:hAnsi="仿宋" w:eastAsia="仿宋" w:cs="仿宋"/>
          <w:sz w:val="28"/>
          <w:szCs w:val="28"/>
          <w:lang w:val="en-US" w:eastAsia="zh-CN" w:bidi="ar-SA"/>
        </w:rPr>
        <w:t>总</w:t>
      </w:r>
      <w:r>
        <w:rPr>
          <w:rFonts w:hint="eastAsia" w:ascii="仿宋" w:hAnsi="仿宋" w:eastAsia="仿宋" w:cs="仿宋"/>
          <w:sz w:val="28"/>
          <w:szCs w:val="28"/>
          <w:lang w:val="en-GB" w:eastAsia="zh-CN" w:bidi="ar-SA"/>
        </w:rPr>
        <w:t>成本主要为项目成本主要有维护及维修费用、职工工资及福利费、日常管理费、折旧及摊销、</w:t>
      </w:r>
      <w:r>
        <w:rPr>
          <w:rFonts w:hint="eastAsia" w:ascii="仿宋" w:hAnsi="仿宋" w:eastAsia="仿宋" w:cs="仿宋"/>
          <w:sz w:val="28"/>
          <w:szCs w:val="28"/>
          <w:lang w:val="en-US" w:eastAsia="zh-CN" w:bidi="ar-SA"/>
        </w:rPr>
        <w:t>财务费用</w:t>
      </w:r>
      <w:r>
        <w:rPr>
          <w:rFonts w:hint="eastAsia" w:ascii="仿宋" w:hAnsi="仿宋" w:eastAsia="仿宋" w:cs="仿宋"/>
          <w:sz w:val="28"/>
          <w:szCs w:val="28"/>
          <w:lang w:val="en-GB" w:eastAsia="zh-CN" w:bidi="ar-SA"/>
        </w:rPr>
        <w:t>组成。项目债券存续期累计成本支出12937.88万元。</w:t>
      </w:r>
    </w:p>
    <w:p w14:paraId="7A4E4ED6">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3.项目损益</w:t>
      </w:r>
      <w:bookmarkEnd w:id="77"/>
    </w:p>
    <w:p w14:paraId="253034EB">
      <w:pPr>
        <w:spacing w:beforeLines="50" w:afterLines="50" w:line="360" w:lineRule="auto"/>
        <w:ind w:firstLine="560" w:firstLineChars="200"/>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本项目在债券存续期内运营总收入预计为</w:t>
      </w:r>
      <w:r>
        <w:rPr>
          <w:rFonts w:hint="eastAsia" w:ascii="仿宋" w:hAnsi="仿宋" w:eastAsia="仿宋" w:cs="仿宋"/>
          <w:sz w:val="28"/>
          <w:szCs w:val="28"/>
          <w:lang w:val="en-US" w:eastAsia="zh-CN" w:bidi="ar-SA"/>
        </w:rPr>
        <w:t>16710.91</w:t>
      </w:r>
      <w:r>
        <w:rPr>
          <w:rFonts w:hint="eastAsia" w:ascii="仿宋" w:hAnsi="仿宋" w:eastAsia="仿宋" w:cs="仿宋"/>
          <w:kern w:val="2"/>
          <w:sz w:val="28"/>
          <w:szCs w:val="28"/>
          <w:lang w:val="en-US" w:eastAsia="zh-CN" w:bidi="ar-SA"/>
        </w:rPr>
        <w:t>万元，总成本预计为12937.88万元，累计净利润为</w:t>
      </w:r>
      <w:r>
        <w:rPr>
          <w:rFonts w:hint="eastAsia" w:ascii="仿宋" w:hAnsi="仿宋" w:eastAsia="仿宋" w:cs="仿宋"/>
          <w:color w:val="auto"/>
          <w:spacing w:val="-1"/>
          <w:sz w:val="28"/>
          <w:szCs w:val="28"/>
          <w:highlight w:val="none"/>
          <w:lang w:val="en-US" w:eastAsia="zh-CN"/>
        </w:rPr>
        <w:t>2829.70</w:t>
      </w:r>
      <w:r>
        <w:rPr>
          <w:rFonts w:hint="eastAsia" w:ascii="仿宋" w:hAnsi="仿宋" w:eastAsia="仿宋" w:cs="仿宋"/>
          <w:kern w:val="2"/>
          <w:sz w:val="28"/>
          <w:szCs w:val="28"/>
          <w:lang w:val="en-US" w:eastAsia="zh-CN" w:bidi="ar-SA"/>
        </w:rPr>
        <w:t>万元，本项目息前净现金流量累计10370.78万元，本项目融资收益覆盖倍数为1.31倍。</w:t>
      </w:r>
    </w:p>
    <w:p w14:paraId="5CF5A3B6">
      <w:pPr>
        <w:spacing w:beforeLines="50" w:afterLines="50" w:line="360" w:lineRule="auto"/>
        <w:outlineLvl w:val="1"/>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资金测算平衡情况</w:t>
      </w:r>
    </w:p>
    <w:p w14:paraId="072F4A07">
      <w:pPr>
        <w:spacing w:beforeLines="50" w:afterLines="50" w:line="360" w:lineRule="auto"/>
        <w:ind w:firstLine="643" w:firstLineChars="200"/>
        <w:outlineLvl w:val="2"/>
        <w:rPr>
          <w:rFonts w:hint="eastAsia" w:ascii="仿宋" w:hAnsi="仿宋" w:eastAsia="仿宋" w:cs="仿宋"/>
          <w:b/>
          <w:bCs/>
          <w:sz w:val="32"/>
          <w:szCs w:val="32"/>
          <w:lang w:val="en-US" w:eastAsia="zh-CN"/>
        </w:rPr>
      </w:pPr>
      <w:bookmarkStart w:id="78" w:name="_Toc24256"/>
      <w:bookmarkStart w:id="79" w:name="_Toc1381"/>
      <w:bookmarkStart w:id="80" w:name="_Toc18760766"/>
      <w:bookmarkStart w:id="81" w:name="_Toc20333"/>
      <w:r>
        <w:rPr>
          <w:rFonts w:hint="eastAsia" w:ascii="仿宋" w:hAnsi="仿宋" w:eastAsia="仿宋" w:cs="仿宋"/>
          <w:b/>
          <w:bCs/>
          <w:sz w:val="32"/>
          <w:szCs w:val="32"/>
          <w:lang w:val="en-US" w:eastAsia="zh-CN"/>
        </w:rPr>
        <w:t>1.项目还本付息计划</w:t>
      </w:r>
      <w:bookmarkEnd w:id="78"/>
      <w:bookmarkEnd w:id="79"/>
      <w:bookmarkEnd w:id="80"/>
      <w:bookmarkEnd w:id="81"/>
    </w:p>
    <w:p w14:paraId="16D8B2B7">
      <w:pPr>
        <w:spacing w:beforeLines="50" w:afterLines="50" w:line="360" w:lineRule="auto"/>
        <w:ind w:firstLine="560" w:firstLineChars="200"/>
        <w:outlineLvl w:val="9"/>
        <w:rPr>
          <w:rFonts w:hint="eastAsia" w:ascii="仿宋" w:hAnsi="仿宋" w:eastAsia="仿宋" w:cs="仿宋"/>
          <w:bCs/>
          <w:color w:val="000000"/>
          <w:sz w:val="28"/>
          <w:szCs w:val="28"/>
        </w:rPr>
      </w:pPr>
      <w:bookmarkStart w:id="82" w:name="_Toc13883"/>
      <w:bookmarkStart w:id="83" w:name="_Toc18760767"/>
      <w:bookmarkStart w:id="84" w:name="_Toc12782"/>
      <w:bookmarkStart w:id="85" w:name="_Toc15443"/>
      <w:r>
        <w:rPr>
          <w:rFonts w:hint="eastAsia" w:ascii="仿宋" w:hAnsi="仿宋" w:eastAsia="仿宋" w:cs="仿宋"/>
          <w:bCs/>
          <w:color w:val="000000"/>
          <w:sz w:val="28"/>
          <w:szCs w:val="28"/>
        </w:rPr>
        <w:t>本项目发行债券需支付的利息，按照</w:t>
      </w:r>
      <w:r>
        <w:rPr>
          <w:rFonts w:hint="eastAsia" w:ascii="仿宋" w:hAnsi="仿宋" w:eastAsia="仿宋" w:cs="仿宋"/>
          <w:bCs/>
          <w:color w:val="000000"/>
          <w:sz w:val="28"/>
          <w:szCs w:val="28"/>
          <w:lang w:val="en-US" w:eastAsia="zh-CN"/>
        </w:rPr>
        <w:t>3.80</w:t>
      </w:r>
      <w:r>
        <w:rPr>
          <w:rFonts w:hint="eastAsia" w:ascii="仿宋" w:hAnsi="仿宋" w:eastAsia="仿宋" w:cs="仿宋"/>
          <w:bCs/>
          <w:color w:val="000000"/>
          <w:sz w:val="28"/>
          <w:szCs w:val="28"/>
        </w:rPr>
        <w:t>%利率计算，每期债券发行期限为</w:t>
      </w:r>
      <w:r>
        <w:rPr>
          <w:rFonts w:hint="eastAsia" w:ascii="仿宋" w:hAnsi="仿宋" w:eastAsia="仿宋" w:cs="仿宋"/>
          <w:bCs/>
          <w:color w:val="000000"/>
          <w:sz w:val="28"/>
          <w:szCs w:val="28"/>
          <w:lang w:val="en-US" w:eastAsia="zh-CN"/>
        </w:rPr>
        <w:t>20</w:t>
      </w:r>
      <w:r>
        <w:rPr>
          <w:rFonts w:hint="eastAsia" w:ascii="仿宋" w:hAnsi="仿宋" w:eastAsia="仿宋" w:cs="仿宋"/>
          <w:bCs/>
          <w:color w:val="000000"/>
          <w:sz w:val="28"/>
          <w:szCs w:val="28"/>
        </w:rPr>
        <w:t>年，每年付息一次，债券发行期最后一年偿还本金。债券存续期内累计需支付利息</w:t>
      </w:r>
      <w:r>
        <w:rPr>
          <w:rFonts w:hint="eastAsia" w:ascii="仿宋" w:hAnsi="仿宋" w:eastAsia="仿宋" w:cs="仿宋"/>
          <w:bCs/>
          <w:color w:val="000000"/>
          <w:sz w:val="28"/>
          <w:szCs w:val="28"/>
          <w:lang w:val="en-US" w:eastAsia="zh-CN"/>
        </w:rPr>
        <w:t>3420.00</w:t>
      </w:r>
      <w:r>
        <w:rPr>
          <w:rFonts w:hint="eastAsia" w:ascii="仿宋" w:hAnsi="仿宋" w:eastAsia="仿宋" w:cs="仿宋"/>
          <w:bCs/>
          <w:color w:val="000000"/>
          <w:sz w:val="28"/>
          <w:szCs w:val="28"/>
        </w:rPr>
        <w:t>万元，其中：专项债券建设期利息计</w:t>
      </w:r>
      <w:r>
        <w:rPr>
          <w:rFonts w:hint="eastAsia" w:ascii="仿宋" w:hAnsi="仿宋" w:eastAsia="仿宋" w:cs="仿宋"/>
          <w:bCs/>
          <w:color w:val="000000"/>
          <w:sz w:val="28"/>
          <w:szCs w:val="28"/>
          <w:lang w:val="en-US" w:eastAsia="zh-CN"/>
        </w:rPr>
        <w:t>294.50</w:t>
      </w:r>
      <w:r>
        <w:rPr>
          <w:rFonts w:hint="eastAsia" w:ascii="仿宋" w:hAnsi="仿宋" w:eastAsia="仿宋" w:cs="仿宋"/>
          <w:bCs/>
          <w:color w:val="000000"/>
          <w:sz w:val="28"/>
          <w:szCs w:val="28"/>
        </w:rPr>
        <w:t>万元计入建设成本，专项债券在运营期间产生的利息费用</w:t>
      </w:r>
      <w:r>
        <w:rPr>
          <w:rFonts w:hint="eastAsia" w:ascii="仿宋" w:hAnsi="仿宋" w:eastAsia="仿宋" w:cs="仿宋"/>
          <w:bCs/>
          <w:color w:val="000000"/>
          <w:sz w:val="28"/>
          <w:szCs w:val="28"/>
          <w:lang w:val="en-US" w:eastAsia="zh-CN"/>
        </w:rPr>
        <w:t>3125.50</w:t>
      </w:r>
      <w:r>
        <w:rPr>
          <w:rFonts w:hint="eastAsia" w:ascii="仿宋" w:hAnsi="仿宋" w:eastAsia="仿宋" w:cs="仿宋"/>
          <w:bCs/>
          <w:color w:val="000000"/>
          <w:sz w:val="28"/>
          <w:szCs w:val="28"/>
        </w:rPr>
        <w:t>万元。</w:t>
      </w:r>
    </w:p>
    <w:p w14:paraId="7B72D633">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2.项目资金平衡情况</w:t>
      </w:r>
      <w:bookmarkEnd w:id="82"/>
      <w:bookmarkEnd w:id="83"/>
      <w:bookmarkEnd w:id="84"/>
      <w:bookmarkEnd w:id="85"/>
    </w:p>
    <w:p w14:paraId="0CC736EB">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（1）资金平衡情况</w:t>
      </w:r>
    </w:p>
    <w:p w14:paraId="1CF57012">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若项目在满足上述资金筹集计划、项目实施计划、资金使用计划及预期收益的假设前提下，政府专项债到期日累计资金结余</w:t>
      </w:r>
      <w:r>
        <w:rPr>
          <w:rFonts w:hint="eastAsia" w:ascii="仿宋" w:hAnsi="仿宋" w:eastAsia="仿宋" w:cs="仿宋"/>
          <w:kern w:val="2"/>
          <w:sz w:val="28"/>
          <w:szCs w:val="28"/>
          <w:lang w:val="en-US" w:eastAsia="zh-CN"/>
        </w:rPr>
        <w:t>3156.05</w:t>
      </w:r>
      <w:r>
        <w:rPr>
          <w:rFonts w:hint="eastAsia" w:ascii="仿宋" w:hAnsi="仿宋" w:eastAsia="仿宋" w:cs="仿宋"/>
          <w:kern w:val="2"/>
          <w:sz w:val="28"/>
          <w:szCs w:val="28"/>
          <w:lang w:val="en-US"/>
        </w:rPr>
        <w:t>万元，项目在预测期内可实现息前</w:t>
      </w:r>
      <w:r>
        <w:rPr>
          <w:rFonts w:hint="eastAsia" w:ascii="仿宋" w:hAnsi="仿宋" w:eastAsia="仿宋" w:cs="仿宋"/>
          <w:kern w:val="2"/>
          <w:sz w:val="28"/>
          <w:szCs w:val="28"/>
          <w:lang w:val="en-US" w:eastAsia="zh-CN" w:bidi="ar-SA"/>
        </w:rPr>
        <w:t>净现金流量累计10370.78万元，</w:t>
      </w:r>
      <w:r>
        <w:rPr>
          <w:rFonts w:hint="eastAsia" w:ascii="仿宋" w:hAnsi="仿宋" w:eastAsia="仿宋" w:cs="仿宋"/>
          <w:kern w:val="2"/>
          <w:sz w:val="28"/>
          <w:szCs w:val="28"/>
          <w:lang w:val="en-US"/>
        </w:rPr>
        <w:t>政府专项债券到期本息合计</w:t>
      </w:r>
      <w:r>
        <w:rPr>
          <w:rFonts w:hint="eastAsia" w:ascii="仿宋" w:hAnsi="仿宋" w:eastAsia="仿宋" w:cs="仿宋"/>
          <w:kern w:val="2"/>
          <w:sz w:val="28"/>
          <w:szCs w:val="28"/>
          <w:lang w:val="en-US" w:eastAsia="zh-CN"/>
        </w:rPr>
        <w:t>7920.00</w:t>
      </w:r>
      <w:r>
        <w:rPr>
          <w:rFonts w:hint="eastAsia" w:ascii="仿宋" w:hAnsi="仿宋" w:eastAsia="仿宋" w:cs="仿宋"/>
          <w:kern w:val="2"/>
          <w:sz w:val="28"/>
          <w:szCs w:val="28"/>
          <w:lang w:val="en-US"/>
        </w:rPr>
        <w:t>万元，本项目净现金流/政府专项债本息的收益覆盖倍数为</w:t>
      </w:r>
      <w:r>
        <w:rPr>
          <w:rFonts w:hint="eastAsia" w:ascii="仿宋" w:hAnsi="仿宋" w:eastAsia="仿宋" w:cs="仿宋"/>
          <w:kern w:val="2"/>
          <w:sz w:val="28"/>
          <w:szCs w:val="28"/>
          <w:lang w:val="en-US" w:eastAsia="zh-CN"/>
        </w:rPr>
        <w:t>1.31</w:t>
      </w:r>
      <w:r>
        <w:rPr>
          <w:rFonts w:hint="eastAsia" w:ascii="仿宋" w:hAnsi="仿宋" w:eastAsia="仿宋" w:cs="仿宋"/>
          <w:kern w:val="2"/>
          <w:sz w:val="28"/>
          <w:szCs w:val="28"/>
          <w:lang w:val="en-US"/>
        </w:rPr>
        <w:t>倍。期间不存在资金缺口。</w:t>
      </w:r>
    </w:p>
    <w:p w14:paraId="4E734774">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（2）项目运营情况</w:t>
      </w:r>
    </w:p>
    <w:p w14:paraId="392797CF">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项目运营预期收入：</w:t>
      </w:r>
      <w:r>
        <w:rPr>
          <w:rFonts w:hint="eastAsia" w:ascii="仿宋" w:hAnsi="仿宋" w:eastAsia="仿宋" w:cs="仿宋"/>
          <w:sz w:val="28"/>
          <w:szCs w:val="28"/>
          <w:lang w:val="en-US" w:eastAsia="zh-CN" w:bidi="ar-SA"/>
        </w:rPr>
        <w:t>16710.91</w:t>
      </w:r>
      <w:r>
        <w:rPr>
          <w:rFonts w:hint="eastAsia" w:ascii="仿宋" w:hAnsi="仿宋" w:eastAsia="仿宋" w:cs="仿宋"/>
          <w:kern w:val="2"/>
          <w:sz w:val="28"/>
          <w:szCs w:val="28"/>
          <w:lang w:val="en-US"/>
        </w:rPr>
        <w:t>万元</w:t>
      </w:r>
    </w:p>
    <w:p w14:paraId="478D9ED9">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经营活动产生的现金流出=项目运营成本（不含财务费用）+其他运营支出；其中，项目运营成本（不含财务费用）</w:t>
      </w:r>
      <w:r>
        <w:rPr>
          <w:rFonts w:hint="eastAsia" w:ascii="仿宋" w:hAnsi="仿宋" w:eastAsia="仿宋" w:cs="仿宋"/>
          <w:kern w:val="2"/>
          <w:sz w:val="28"/>
          <w:szCs w:val="28"/>
          <w:lang w:val="en-US" w:eastAsia="zh-CN"/>
        </w:rPr>
        <w:t>4986.03</w:t>
      </w:r>
      <w:r>
        <w:rPr>
          <w:rFonts w:hint="eastAsia" w:ascii="仿宋" w:hAnsi="仿宋" w:eastAsia="仿宋" w:cs="仿宋"/>
          <w:kern w:val="2"/>
          <w:sz w:val="28"/>
          <w:szCs w:val="28"/>
          <w:lang w:val="en-US"/>
        </w:rPr>
        <w:t>万元，其他运营支出</w:t>
      </w:r>
      <w:r>
        <w:rPr>
          <w:rFonts w:hint="eastAsia" w:ascii="仿宋" w:hAnsi="仿宋" w:eastAsia="仿宋" w:cs="仿宋"/>
          <w:kern w:val="2"/>
          <w:sz w:val="28"/>
          <w:szCs w:val="28"/>
          <w:lang w:val="en-US" w:eastAsia="zh-CN"/>
        </w:rPr>
        <w:t>943.33</w:t>
      </w:r>
      <w:r>
        <w:rPr>
          <w:rFonts w:hint="eastAsia" w:ascii="仿宋" w:hAnsi="仿宋" w:eastAsia="仿宋" w:cs="仿宋"/>
          <w:kern w:val="2"/>
          <w:sz w:val="28"/>
          <w:szCs w:val="28"/>
          <w:lang w:val="en-US"/>
        </w:rPr>
        <w:t>万元，共计</w:t>
      </w:r>
      <w:r>
        <w:rPr>
          <w:rFonts w:hint="eastAsia" w:ascii="仿宋" w:hAnsi="仿宋" w:eastAsia="仿宋" w:cs="仿宋"/>
          <w:kern w:val="2"/>
          <w:sz w:val="28"/>
          <w:szCs w:val="28"/>
          <w:lang w:val="en-US" w:eastAsia="zh-CN" w:bidi="ar-SA"/>
        </w:rPr>
        <w:t>5929.36</w:t>
      </w:r>
      <w:r>
        <w:rPr>
          <w:rFonts w:hint="eastAsia" w:ascii="仿宋" w:hAnsi="仿宋" w:eastAsia="仿宋" w:cs="仿宋"/>
          <w:kern w:val="2"/>
          <w:sz w:val="28"/>
          <w:szCs w:val="28"/>
          <w:lang w:val="en-US"/>
        </w:rPr>
        <w:t>万元。</w:t>
      </w:r>
    </w:p>
    <w:p w14:paraId="02B36D48">
      <w:pPr>
        <w:spacing w:beforeLines="50" w:afterLines="50" w:line="360" w:lineRule="auto"/>
        <w:ind w:firstLine="560" w:firstLineChars="200"/>
        <w:jc w:val="both"/>
        <w:outlineLvl w:val="9"/>
        <w:rPr>
          <w:rFonts w:cs="宋体"/>
          <w:color w:val="000000"/>
          <w:sz w:val="28"/>
          <w:szCs w:val="28"/>
          <w:lang w:val="en-US" w:bidi="ar-SA"/>
        </w:rPr>
        <w:sectPr>
          <w:headerReference r:id="rId3" w:type="default"/>
          <w:footerReference r:id="rId4" w:type="default"/>
          <w:pgSz w:w="11900" w:h="16840"/>
          <w:pgMar w:top="1134" w:right="1588" w:bottom="1134" w:left="1588"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8"/>
          <w:szCs w:val="28"/>
          <w:lang w:val="en-US" w:eastAsia="zh-CN"/>
        </w:rPr>
        <w:t>资金测算平衡情况具体见表下表所</w:t>
      </w:r>
    </w:p>
    <w:p w14:paraId="336660E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仿宋" w:hAnsi="仿宋" w:eastAsia="仿宋" w:cs="仿宋"/>
          <w:sz w:val="30"/>
          <w:szCs w:val="30"/>
        </w:rPr>
      </w:pPr>
      <w:bookmarkStart w:id="86" w:name="_Toc28723"/>
      <w:bookmarkStart w:id="87" w:name="_Toc7944"/>
      <w:r>
        <w:rPr>
          <w:rFonts w:hint="eastAsia" w:ascii="仿宋" w:hAnsi="仿宋" w:eastAsia="仿宋" w:cs="仿宋"/>
          <w:b/>
          <w:bCs/>
          <w:spacing w:val="-5"/>
          <w:sz w:val="30"/>
          <w:szCs w:val="30"/>
        </w:rPr>
        <w:t>资金测算平衡表</w:t>
      </w:r>
      <w:bookmarkEnd w:id="86"/>
      <w:bookmarkEnd w:id="87"/>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3"/>
        <w:gridCol w:w="2489"/>
        <w:gridCol w:w="1096"/>
        <w:gridCol w:w="1096"/>
        <w:gridCol w:w="1096"/>
        <w:gridCol w:w="1096"/>
        <w:gridCol w:w="923"/>
        <w:gridCol w:w="986"/>
        <w:gridCol w:w="986"/>
        <w:gridCol w:w="986"/>
        <w:gridCol w:w="986"/>
        <w:gridCol w:w="986"/>
        <w:gridCol w:w="986"/>
        <w:gridCol w:w="986"/>
        <w:gridCol w:w="986"/>
      </w:tblGrid>
      <w:tr w14:paraId="2D4F0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vMerge w:val="restart"/>
            <w:tcBorders>
              <w:top w:val="single" w:color="000000" w:sz="4" w:space="0"/>
              <w:left w:val="single" w:color="000000" w:sz="4" w:space="0"/>
              <w:bottom w:val="single" w:color="000000" w:sz="4" w:space="0"/>
              <w:right w:val="single" w:color="000000" w:sz="4" w:space="0"/>
            </w:tcBorders>
            <w:noWrap w:val="0"/>
            <w:vAlign w:val="center"/>
          </w:tcPr>
          <w:p w14:paraId="49C090D3">
            <w:pPr>
              <w:keepNext w:val="0"/>
              <w:keepLines w:val="0"/>
              <w:widowControl/>
              <w:suppressLineNumbers w:val="0"/>
              <w:jc w:val="center"/>
              <w:textAlignment w:val="center"/>
              <w:rPr>
                <w:rFonts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序号</w:t>
            </w:r>
          </w:p>
        </w:tc>
        <w:tc>
          <w:tcPr>
            <w:tcW w:w="767" w:type="pct"/>
            <w:vMerge w:val="restart"/>
            <w:tcBorders>
              <w:top w:val="single" w:color="000000" w:sz="4" w:space="0"/>
              <w:left w:val="single" w:color="000000" w:sz="4" w:space="0"/>
              <w:bottom w:val="single" w:color="000000" w:sz="4" w:space="0"/>
              <w:right w:val="single" w:color="000000" w:sz="4" w:space="0"/>
            </w:tcBorders>
            <w:noWrap w:val="0"/>
            <w:vAlign w:val="center"/>
          </w:tcPr>
          <w:p w14:paraId="4F4FE58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w:t>
            </w:r>
          </w:p>
        </w:tc>
        <w:tc>
          <w:tcPr>
            <w:tcW w:w="290" w:type="pct"/>
            <w:vMerge w:val="restart"/>
            <w:tcBorders>
              <w:top w:val="single" w:color="000000" w:sz="4" w:space="0"/>
              <w:left w:val="single" w:color="000000" w:sz="4" w:space="0"/>
              <w:bottom w:val="single" w:color="000000" w:sz="4" w:space="0"/>
              <w:right w:val="single" w:color="000000" w:sz="4" w:space="0"/>
            </w:tcBorders>
            <w:noWrap w:val="0"/>
            <w:vAlign w:val="center"/>
          </w:tcPr>
          <w:p w14:paraId="5E29D01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合计</w:t>
            </w:r>
          </w:p>
        </w:tc>
        <w:tc>
          <w:tcPr>
            <w:tcW w:w="669" w:type="pct"/>
            <w:gridSpan w:val="2"/>
            <w:tcBorders>
              <w:top w:val="single" w:color="000000" w:sz="4" w:space="0"/>
              <w:left w:val="single" w:color="000000" w:sz="4" w:space="0"/>
              <w:bottom w:val="single" w:color="000000" w:sz="4" w:space="0"/>
              <w:right w:val="nil"/>
            </w:tcBorders>
            <w:noWrap w:val="0"/>
            <w:vAlign w:val="center"/>
          </w:tcPr>
          <w:p w14:paraId="322482C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建设期</w:t>
            </w:r>
          </w:p>
        </w:tc>
        <w:tc>
          <w:tcPr>
            <w:tcW w:w="340" w:type="pct"/>
            <w:tcBorders>
              <w:top w:val="single" w:color="000000" w:sz="4" w:space="0"/>
              <w:left w:val="nil"/>
              <w:bottom w:val="single" w:color="000000" w:sz="4" w:space="0"/>
              <w:right w:val="nil"/>
            </w:tcBorders>
            <w:noWrap w:val="0"/>
            <w:vAlign w:val="center"/>
          </w:tcPr>
          <w:p w14:paraId="27E5D911">
            <w:pPr>
              <w:jc w:val="center"/>
              <w:rPr>
                <w:rFonts w:hint="eastAsia" w:ascii="仿宋" w:hAnsi="仿宋" w:eastAsia="仿宋" w:cs="仿宋"/>
                <w:b w:val="0"/>
                <w:bCs w:val="0"/>
                <w:i w:val="0"/>
                <w:iCs w:val="0"/>
                <w:color w:val="000000"/>
                <w:sz w:val="22"/>
                <w:szCs w:val="22"/>
                <w:u w:val="none"/>
              </w:rPr>
            </w:pPr>
          </w:p>
        </w:tc>
        <w:tc>
          <w:tcPr>
            <w:tcW w:w="2676" w:type="pct"/>
            <w:gridSpan w:val="9"/>
            <w:tcBorders>
              <w:top w:val="single" w:color="000000" w:sz="4" w:space="0"/>
              <w:left w:val="single" w:color="000000" w:sz="4" w:space="0"/>
              <w:bottom w:val="single" w:color="000000" w:sz="4" w:space="0"/>
              <w:right w:val="single" w:color="000000" w:sz="4" w:space="0"/>
            </w:tcBorders>
            <w:noWrap w:val="0"/>
            <w:vAlign w:val="center"/>
          </w:tcPr>
          <w:p w14:paraId="4C9C267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运营期</w:t>
            </w:r>
          </w:p>
        </w:tc>
      </w:tr>
      <w:tr w14:paraId="5FB0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F7F189">
            <w:pPr>
              <w:jc w:val="center"/>
              <w:rPr>
                <w:rFonts w:hint="eastAsia" w:ascii="仿宋" w:hAnsi="仿宋" w:eastAsia="仿宋" w:cs="仿宋"/>
                <w:b w:val="0"/>
                <w:bCs w:val="0"/>
                <w:i w:val="0"/>
                <w:iCs w:val="0"/>
                <w:color w:val="000000"/>
                <w:sz w:val="22"/>
                <w:szCs w:val="22"/>
                <w:u w:val="none"/>
              </w:rPr>
            </w:pPr>
          </w:p>
        </w:tc>
        <w:tc>
          <w:tcPr>
            <w:tcW w:w="7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C8029">
            <w:pPr>
              <w:jc w:val="center"/>
              <w:rPr>
                <w:rFonts w:hint="eastAsia" w:ascii="仿宋" w:hAnsi="仿宋" w:eastAsia="仿宋" w:cs="仿宋"/>
                <w:b w:val="0"/>
                <w:bCs w:val="0"/>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F7B19D">
            <w:pPr>
              <w:jc w:val="cente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0"/>
            <w:vAlign w:val="center"/>
          </w:tcPr>
          <w:p w14:paraId="0F58CA4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第1年</w:t>
            </w:r>
          </w:p>
        </w:tc>
        <w:tc>
          <w:tcPr>
            <w:tcW w:w="328" w:type="pct"/>
            <w:tcBorders>
              <w:top w:val="single" w:color="000000" w:sz="4" w:space="0"/>
              <w:left w:val="single" w:color="000000" w:sz="4" w:space="0"/>
              <w:bottom w:val="single" w:color="000000" w:sz="4" w:space="0"/>
              <w:right w:val="single" w:color="000000" w:sz="4" w:space="0"/>
            </w:tcBorders>
            <w:noWrap w:val="0"/>
            <w:vAlign w:val="center"/>
          </w:tcPr>
          <w:p w14:paraId="5714B27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第2年</w:t>
            </w:r>
          </w:p>
        </w:tc>
        <w:tc>
          <w:tcPr>
            <w:tcW w:w="340" w:type="pct"/>
            <w:tcBorders>
              <w:top w:val="single" w:color="000000" w:sz="4" w:space="0"/>
              <w:left w:val="single" w:color="000000" w:sz="4" w:space="0"/>
              <w:bottom w:val="single" w:color="000000" w:sz="4" w:space="0"/>
              <w:right w:val="single" w:color="000000" w:sz="4" w:space="0"/>
            </w:tcBorders>
            <w:noWrap w:val="0"/>
            <w:vAlign w:val="center"/>
          </w:tcPr>
          <w:p w14:paraId="5DE2805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第3年上</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14:paraId="17D9C8E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第3年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29CF19E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第4年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562A79B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第5年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6A3F21A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第6年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14E4882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第7年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4E6FE7A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第8年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374B6A5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第9年</w:t>
            </w:r>
          </w:p>
        </w:tc>
        <w:tc>
          <w:tcPr>
            <w:tcW w:w="297" w:type="pct"/>
            <w:tcBorders>
              <w:top w:val="single" w:color="000000" w:sz="4" w:space="0"/>
              <w:left w:val="single" w:color="000000" w:sz="4" w:space="0"/>
              <w:bottom w:val="single" w:color="000000" w:sz="4" w:space="0"/>
              <w:right w:val="single" w:color="000000" w:sz="4" w:space="0"/>
            </w:tcBorders>
            <w:noWrap w:val="0"/>
            <w:vAlign w:val="center"/>
          </w:tcPr>
          <w:p w14:paraId="1B8C335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第10年</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768C3D7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第11年</w:t>
            </w:r>
          </w:p>
        </w:tc>
      </w:tr>
      <w:tr w14:paraId="10C6A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7206E0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一</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1CD5640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经营活动产生的净现金流量</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94D7FA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10781.55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0AAAA341">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6742CB18">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05192A9D">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5C9E9F4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245.50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951A8A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491.14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023F5E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491.14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3EF65B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511.48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E1C4CE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511.48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9C7D6D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511.48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04C210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532.82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735E76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532.82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5904457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532.82 </w:t>
            </w:r>
          </w:p>
        </w:tc>
      </w:tr>
      <w:tr w14:paraId="6105B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30BFEDA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527B7B1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4B96B3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16710.91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846DB19">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61F7891">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59932220">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E72AD8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369.94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6E1267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739.88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809F77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739.88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9393E3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CB9903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CA43DC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C424C1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8D8389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050F177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r>
      <w:tr w14:paraId="4F050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7DFE657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0A5B832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经营收入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0EE040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16710.91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72AB01C">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6A76E8A2">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585848A9">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B3DB23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369.94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500DA6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739.88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DA32B7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739.88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CC143D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51AA36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FB3C98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776.88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BB226D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348966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674CF66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815.72 </w:t>
            </w:r>
          </w:p>
        </w:tc>
      </w:tr>
      <w:tr w14:paraId="43731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0D7D4B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40BCE8A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补贴收入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6EED28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94E759E">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70BC42FE">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DDE7A45">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2909A77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75E3DB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1672364">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F3217D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8702B0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6E62CF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AE2860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AD85473">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BF152BE">
            <w:pPr>
              <w:rPr>
                <w:rFonts w:hint="eastAsia" w:ascii="仿宋" w:hAnsi="仿宋" w:eastAsia="仿宋" w:cs="仿宋"/>
                <w:b w:val="0"/>
                <w:bCs w:val="0"/>
                <w:i w:val="0"/>
                <w:iCs w:val="0"/>
                <w:color w:val="000000"/>
                <w:sz w:val="22"/>
                <w:szCs w:val="22"/>
                <w:u w:val="none"/>
              </w:rPr>
            </w:pPr>
          </w:p>
        </w:tc>
      </w:tr>
      <w:tr w14:paraId="045CF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065017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333E1F2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7BDC23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5929.36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66C1449">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B9A9CB5">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63C8392A">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68E8148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124.44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82489A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248.74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FAA5B7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248.74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600E73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265.40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5F044C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265.40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F0AEB7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265.40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C8CDC2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282.90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C9FA76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282.90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BD34FC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282.90 </w:t>
            </w:r>
          </w:p>
        </w:tc>
      </w:tr>
      <w:tr w14:paraId="5B58D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22C8B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2.1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3A696D6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经营成本</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6AF920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4986.03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0895A9F3">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74D8739E">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52B80C5">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185D6CD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108.84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17C131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221.88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8FB2DD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221.88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79A091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232.63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C30001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232.63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7DBAA8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232.63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2ABFB3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243.93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23BE83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243.93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4A69288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243.93 </w:t>
            </w:r>
          </w:p>
        </w:tc>
      </w:tr>
      <w:tr w14:paraId="40593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49B9CE28">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3DADE4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相关税费</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（税金及附加+企业所得税）</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385104E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943.33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D964CDE">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231B9729">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6D18EF82">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0F337C1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15.60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F41B12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26.86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AD13AB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26.86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EEF7D7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32.77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6EE7D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32.77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6645C7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32.77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AF4B9B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38.97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57F16D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38.97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6F0CD3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38.97 </w:t>
            </w:r>
          </w:p>
        </w:tc>
      </w:tr>
      <w:tr w14:paraId="4AE6B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80F4C6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二</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45DC2C3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投资活动净现金流量</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0AA247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597FCF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-3922.00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0F64CC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-2365.50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D56D04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-2080.50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52F5569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5048D6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EB9982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AF8CA3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A6EA44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5233ED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26F2CBC">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9F64126">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38AD7F0D">
            <w:pPr>
              <w:rPr>
                <w:rFonts w:hint="eastAsia" w:ascii="仿宋" w:hAnsi="仿宋" w:eastAsia="仿宋" w:cs="仿宋"/>
                <w:b w:val="0"/>
                <w:bCs w:val="0"/>
                <w:i w:val="0"/>
                <w:iCs w:val="0"/>
                <w:color w:val="000000"/>
                <w:sz w:val="22"/>
                <w:szCs w:val="22"/>
                <w:u w:val="none"/>
              </w:rPr>
            </w:pPr>
          </w:p>
        </w:tc>
      </w:tr>
      <w:tr w14:paraId="184EC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45A031BB">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037C7CA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4A19DA2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5448320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837496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ABDE7C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4DCD9FB5">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60DD47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65A673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64BC81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795DB0">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8DDFE55">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C4A38CA">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31B0B21">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FD0F469">
            <w:pPr>
              <w:rPr>
                <w:rFonts w:hint="eastAsia" w:ascii="仿宋" w:hAnsi="仿宋" w:eastAsia="仿宋" w:cs="仿宋"/>
                <w:b w:val="0"/>
                <w:bCs w:val="0"/>
                <w:i w:val="0"/>
                <w:iCs w:val="0"/>
                <w:color w:val="000000"/>
                <w:sz w:val="22"/>
                <w:szCs w:val="22"/>
                <w:u w:val="none"/>
              </w:rPr>
            </w:pPr>
          </w:p>
        </w:tc>
      </w:tr>
      <w:tr w14:paraId="1795A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497DAF7F">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DF9A47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处置投资物</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54B00B5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D234CB3">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77FF9AC9">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A6B00F4">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136CB50C">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15A0E0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284B55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6103AF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EB2ADE6">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FC9957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FEEEFE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6FC79E7">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7A2F23E">
            <w:pPr>
              <w:rPr>
                <w:rFonts w:hint="eastAsia" w:ascii="仿宋" w:hAnsi="仿宋" w:eastAsia="仿宋" w:cs="仿宋"/>
                <w:b w:val="0"/>
                <w:bCs w:val="0"/>
                <w:i w:val="0"/>
                <w:iCs w:val="0"/>
                <w:color w:val="000000"/>
                <w:sz w:val="22"/>
                <w:szCs w:val="22"/>
                <w:u w:val="none"/>
              </w:rPr>
            </w:pPr>
          </w:p>
        </w:tc>
      </w:tr>
      <w:tr w14:paraId="7E001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092DD9CE">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0C7B3F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收到其他投资</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3F98ED5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550F13AD">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276134EF">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BF4F988">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16412B1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9C67C06">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B65215A">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C94948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B4DF7F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FFFD00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81811A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229BBEF">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51EC082F">
            <w:pPr>
              <w:rPr>
                <w:rFonts w:hint="eastAsia" w:ascii="仿宋" w:hAnsi="仿宋" w:eastAsia="仿宋" w:cs="仿宋"/>
                <w:b w:val="0"/>
                <w:bCs w:val="0"/>
                <w:i w:val="0"/>
                <w:iCs w:val="0"/>
                <w:color w:val="000000"/>
                <w:sz w:val="22"/>
                <w:szCs w:val="22"/>
                <w:u w:val="none"/>
              </w:rPr>
            </w:pPr>
          </w:p>
        </w:tc>
      </w:tr>
      <w:tr w14:paraId="03580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79A79B0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0031D53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E99DA4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074917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3922.00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A0ADB2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2365.50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EDE8A3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2080.50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EF7917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9256DF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60989D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7A8AA8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88406B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4BD43C4">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AB7A654">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C0EDDED">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B7778E1">
            <w:pPr>
              <w:rPr>
                <w:rFonts w:hint="eastAsia" w:ascii="仿宋" w:hAnsi="仿宋" w:eastAsia="仿宋" w:cs="仿宋"/>
                <w:b w:val="0"/>
                <w:bCs w:val="0"/>
                <w:i w:val="0"/>
                <w:iCs w:val="0"/>
                <w:color w:val="000000"/>
                <w:sz w:val="22"/>
                <w:szCs w:val="22"/>
                <w:u w:val="none"/>
              </w:rPr>
            </w:pPr>
          </w:p>
        </w:tc>
      </w:tr>
      <w:tr w14:paraId="7E18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8020F77">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7C1BB2E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FEF01C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3FED4A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3922.00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648187F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2365.50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782BF8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2080.50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7FF8F8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6E1553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5F1B1F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6D9EB79">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3A66AD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F8D80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525782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89063E4">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5F290F97">
            <w:pPr>
              <w:rPr>
                <w:rFonts w:hint="eastAsia" w:ascii="仿宋" w:hAnsi="仿宋" w:eastAsia="仿宋" w:cs="仿宋"/>
                <w:b w:val="0"/>
                <w:bCs w:val="0"/>
                <w:i w:val="0"/>
                <w:iCs w:val="0"/>
                <w:color w:val="000000"/>
                <w:sz w:val="22"/>
                <w:szCs w:val="22"/>
                <w:u w:val="none"/>
              </w:rPr>
            </w:pPr>
          </w:p>
        </w:tc>
      </w:tr>
      <w:tr w14:paraId="7918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7707C83">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114FC170">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维持运营投资</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58752FD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064F263">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ECAFC0A">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5732B06">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0E3CFBE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4ECADF6">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F05977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785196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5816DBC">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15AD8A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CAEC236">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CC4E478">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4EFB802">
            <w:pPr>
              <w:rPr>
                <w:rFonts w:hint="eastAsia" w:ascii="仿宋" w:hAnsi="仿宋" w:eastAsia="仿宋" w:cs="仿宋"/>
                <w:b w:val="0"/>
                <w:bCs w:val="0"/>
                <w:i w:val="0"/>
                <w:iCs w:val="0"/>
                <w:color w:val="000000"/>
                <w:sz w:val="22"/>
                <w:szCs w:val="22"/>
                <w:u w:val="none"/>
              </w:rPr>
            </w:pPr>
          </w:p>
        </w:tc>
      </w:tr>
      <w:tr w14:paraId="114F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9ADF9A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三</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72B2752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筹措活动净现金流量</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32FB1E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742.50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06352FE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3922.00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438222E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2365.50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51977C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2080.50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5C52A4D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-85.50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E06B5A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FDA89C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7DDB50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1B0174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8744C8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1196C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00F3D5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5BE3BDC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r>
      <w:tr w14:paraId="46748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71F899C5">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3FEEB57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57BFEBB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8667.00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71E638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4000.00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2406931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2500.00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20A98C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2167.00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415595B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5DBAEC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4E9006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ED0228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D2C971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088906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5B765B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C0B0ED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AD926C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r>
      <w:tr w14:paraId="6E387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42BB4972">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11CA2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项目资本金投入</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9AC89C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4167.00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369449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2000.00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04B756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1000.00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C0027E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1167.00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25C256A4">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8E7EE5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407BEEA">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FEFA220">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28FA34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D9BCC1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F7CC37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71368A9">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5EB27328">
            <w:pPr>
              <w:rPr>
                <w:rFonts w:hint="eastAsia" w:ascii="仿宋" w:hAnsi="仿宋" w:eastAsia="仿宋" w:cs="仿宋"/>
                <w:b w:val="0"/>
                <w:bCs w:val="0"/>
                <w:i w:val="0"/>
                <w:iCs w:val="0"/>
                <w:color w:val="000000"/>
                <w:sz w:val="22"/>
                <w:szCs w:val="22"/>
                <w:u w:val="none"/>
              </w:rPr>
            </w:pPr>
          </w:p>
        </w:tc>
      </w:tr>
      <w:tr w14:paraId="2C278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F94E678">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63D4AC3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专项债券资金</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50C19A0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5AA1EF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2000.00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EEA2EB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1500.00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250348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1000.00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02E4326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A97B49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C8E74A9">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8BDB5A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05EE54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76FF94B">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591B2C1">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0357B77">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054F5CFB">
            <w:pPr>
              <w:rPr>
                <w:rFonts w:hint="eastAsia" w:ascii="仿宋" w:hAnsi="仿宋" w:eastAsia="仿宋" w:cs="仿宋"/>
                <w:b w:val="0"/>
                <w:bCs w:val="0"/>
                <w:i w:val="0"/>
                <w:iCs w:val="0"/>
                <w:color w:val="000000"/>
                <w:sz w:val="22"/>
                <w:szCs w:val="22"/>
                <w:u w:val="none"/>
              </w:rPr>
            </w:pPr>
          </w:p>
        </w:tc>
      </w:tr>
      <w:tr w14:paraId="3E0F3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5890F467">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7A80015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33A47CA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7924.50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B52C09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78.00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282734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134.50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8B11CF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86.50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122CEEF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85.50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486DB7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A653A9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E91E94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1C73BB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5B26CF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32A7AC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90F4F6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072EA4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r>
      <w:tr w14:paraId="3B59F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5EA323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AC2FCC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支付债券利息</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C405D2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3420.00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029B90B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76.00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FF7B7C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133.00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2020ED0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85.50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02E56D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85.50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1D39E2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98DF77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247E38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9A00DE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FBCCB3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8FF6FC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F3FFC0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40D0F49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r>
      <w:tr w14:paraId="1C581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9A490EE">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3B5CB65D">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支付债券发行费用</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3C8607C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6742EC0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1DDE17A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796EEEE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4281956C">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ECD8D9A">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EA5C9E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E5347D0">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3DF5CE9">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0DB4A57">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240FC7C">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FA97B2A">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3758166C">
            <w:pPr>
              <w:rPr>
                <w:rFonts w:hint="eastAsia" w:ascii="仿宋" w:hAnsi="仿宋" w:eastAsia="仿宋" w:cs="仿宋"/>
                <w:b w:val="0"/>
                <w:bCs w:val="0"/>
                <w:i w:val="0"/>
                <w:iCs w:val="0"/>
                <w:color w:val="000000"/>
                <w:sz w:val="22"/>
                <w:szCs w:val="22"/>
                <w:u w:val="none"/>
              </w:rPr>
            </w:pPr>
          </w:p>
        </w:tc>
      </w:tr>
      <w:tr w14:paraId="0073C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7CE0EF4">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2.5</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39D56F5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支付专项债券本金</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57D1271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51B713B">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04B15AB2">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FF13D83">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150EA79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4394DF8">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4D9760E">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8AD248A">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3DB9BB6">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04D8FF4">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01769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A3FE54E">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E32C368">
            <w:pPr>
              <w:rPr>
                <w:rFonts w:hint="eastAsia" w:ascii="仿宋" w:hAnsi="仿宋" w:eastAsia="仿宋" w:cs="仿宋"/>
                <w:b w:val="0"/>
                <w:bCs w:val="0"/>
                <w:i w:val="0"/>
                <w:iCs w:val="0"/>
                <w:color w:val="000000"/>
                <w:sz w:val="22"/>
                <w:szCs w:val="22"/>
                <w:u w:val="none"/>
              </w:rPr>
            </w:pPr>
          </w:p>
        </w:tc>
      </w:tr>
      <w:tr w14:paraId="20138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1FEE149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四</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6B03B9A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现金流量总计</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03104AEC">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5B185854">
            <w:pPr>
              <w:rPr>
                <w:rFonts w:hint="eastAsia" w:ascii="仿宋" w:hAnsi="仿宋" w:eastAsia="仿宋" w:cs="仿宋"/>
                <w:b w:val="0"/>
                <w:bCs w:val="0"/>
                <w:i w:val="0"/>
                <w:iCs w:val="0"/>
                <w:color w:val="000000"/>
                <w:sz w:val="22"/>
                <w:szCs w:val="22"/>
                <w:u w:val="none"/>
              </w:rPr>
            </w:pP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1B55373F">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5E29821">
            <w:pPr>
              <w:rPr>
                <w:rFonts w:hint="eastAsia" w:ascii="仿宋" w:hAnsi="仿宋" w:eastAsia="仿宋" w:cs="仿宋"/>
                <w:b w:val="0"/>
                <w:bCs w:val="0"/>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38618F72">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10E3FDF">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8609D29">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971647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9DF177D">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1795345">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2F47BF53">
            <w:pPr>
              <w:rPr>
                <w:rFonts w:hint="eastAsia" w:ascii="仿宋" w:hAnsi="仿宋" w:eastAsia="仿宋" w:cs="仿宋"/>
                <w:b w:val="0"/>
                <w:bCs w:val="0"/>
                <w:i w:val="0"/>
                <w:iCs w:val="0"/>
                <w:color w:val="000000"/>
                <w:sz w:val="22"/>
                <w:szCs w:val="22"/>
                <w:u w:val="none"/>
              </w:rPr>
            </w:pP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C00705C">
            <w:pPr>
              <w:rPr>
                <w:rFonts w:hint="eastAsia" w:ascii="仿宋" w:hAnsi="仿宋" w:eastAsia="仿宋" w:cs="仿宋"/>
                <w:b w:val="0"/>
                <w:bCs w:val="0"/>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4E2C39A9">
            <w:pPr>
              <w:rPr>
                <w:rFonts w:hint="eastAsia" w:ascii="仿宋" w:hAnsi="仿宋" w:eastAsia="仿宋" w:cs="仿宋"/>
                <w:b w:val="0"/>
                <w:bCs w:val="0"/>
                <w:i w:val="0"/>
                <w:iCs w:val="0"/>
                <w:color w:val="000000"/>
                <w:sz w:val="22"/>
                <w:szCs w:val="22"/>
                <w:u w:val="none"/>
              </w:rPr>
            </w:pPr>
          </w:p>
        </w:tc>
      </w:tr>
      <w:tr w14:paraId="4322A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251579C5">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1739B86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项目期的期初资金</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23190E7B">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3B7F3D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578AD0F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1ED7B07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0C1D627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EF7382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9403A8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480.14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58B83B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800.28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1A8E3D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1140.76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87B9BF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1481.23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A2AC87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1821.71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B70BEF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2183.54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1D93819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2545.36 </w:t>
            </w:r>
          </w:p>
        </w:tc>
      </w:tr>
      <w:tr w14:paraId="20380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62FF4A8E">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4A3289D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项目期内现金变动</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（一+二+三）</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C822A6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3156.05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4266565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14C956E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6AB15E8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67BFD58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7F9FAF0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320.14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705C5F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320.14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AD594A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FC301E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A968DB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340.48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043E65D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361.82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DE6D41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361.82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AE20C3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361.82 </w:t>
            </w:r>
          </w:p>
        </w:tc>
      </w:tr>
      <w:tr w14:paraId="35373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14:paraId="47533BA8">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3</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0D56866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项目期的期末资金</w:t>
            </w:r>
          </w:p>
        </w:tc>
        <w:tc>
          <w:tcPr>
            <w:tcW w:w="290" w:type="pct"/>
            <w:tcBorders>
              <w:top w:val="single" w:color="000000" w:sz="4" w:space="0"/>
              <w:left w:val="single" w:color="000000" w:sz="4" w:space="0"/>
              <w:bottom w:val="single" w:color="000000" w:sz="4" w:space="0"/>
              <w:right w:val="single" w:color="000000" w:sz="4" w:space="0"/>
            </w:tcBorders>
            <w:noWrap/>
            <w:vAlign w:val="center"/>
          </w:tcPr>
          <w:p w14:paraId="6D9B2786">
            <w:pPr>
              <w:rPr>
                <w:rFonts w:hint="eastAsia" w:ascii="仿宋" w:hAnsi="仿宋" w:eastAsia="仿宋" w:cs="仿宋"/>
                <w:b w:val="0"/>
                <w:bCs w:val="0"/>
                <w:i w:val="0"/>
                <w:iCs w:val="0"/>
                <w:color w:val="000000"/>
                <w:sz w:val="22"/>
                <w:szCs w:val="22"/>
                <w:u w:val="none"/>
              </w:rPr>
            </w:pP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6B8B547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28" w:type="pct"/>
            <w:tcBorders>
              <w:top w:val="single" w:color="000000" w:sz="4" w:space="0"/>
              <w:left w:val="single" w:color="000000" w:sz="4" w:space="0"/>
              <w:bottom w:val="single" w:color="000000" w:sz="4" w:space="0"/>
              <w:right w:val="single" w:color="000000" w:sz="4" w:space="0"/>
            </w:tcBorders>
            <w:noWrap/>
            <w:vAlign w:val="center"/>
          </w:tcPr>
          <w:p w14:paraId="34458D3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40" w:type="pct"/>
            <w:tcBorders>
              <w:top w:val="single" w:color="000000" w:sz="4" w:space="0"/>
              <w:left w:val="single" w:color="000000" w:sz="4" w:space="0"/>
              <w:bottom w:val="single" w:color="000000" w:sz="4" w:space="0"/>
              <w:right w:val="single" w:color="000000" w:sz="4" w:space="0"/>
            </w:tcBorders>
            <w:noWrap/>
            <w:vAlign w:val="center"/>
          </w:tcPr>
          <w:p w14:paraId="37DD57D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96" w:type="pct"/>
            <w:tcBorders>
              <w:top w:val="single" w:color="000000" w:sz="4" w:space="0"/>
              <w:left w:val="single" w:color="000000" w:sz="4" w:space="0"/>
              <w:bottom w:val="single" w:color="000000" w:sz="4" w:space="0"/>
              <w:right w:val="single" w:color="000000" w:sz="4" w:space="0"/>
            </w:tcBorders>
            <w:noWrap/>
            <w:vAlign w:val="center"/>
          </w:tcPr>
          <w:p w14:paraId="753675F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160.00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3EFC0E2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480.14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433D4F6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800.28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DCDE83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1140.76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E62E70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1481.23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5DE5E54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1821.71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1C1E55C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2183.54 </w:t>
            </w:r>
          </w:p>
        </w:tc>
        <w:tc>
          <w:tcPr>
            <w:tcW w:w="297" w:type="pct"/>
            <w:tcBorders>
              <w:top w:val="single" w:color="000000" w:sz="4" w:space="0"/>
              <w:left w:val="single" w:color="000000" w:sz="4" w:space="0"/>
              <w:bottom w:val="single" w:color="000000" w:sz="4" w:space="0"/>
              <w:right w:val="single" w:color="000000" w:sz="4" w:space="0"/>
            </w:tcBorders>
            <w:noWrap/>
            <w:vAlign w:val="center"/>
          </w:tcPr>
          <w:p w14:paraId="6F376C3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2545.36 </w:t>
            </w: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7A36623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2907.19 </w:t>
            </w:r>
          </w:p>
        </w:tc>
      </w:tr>
    </w:tbl>
    <w:p w14:paraId="424F960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仿宋" w:hAnsi="仿宋" w:eastAsia="仿宋" w:cs="仿宋"/>
          <w:lang w:val="en-US" w:eastAsia="zh-CN"/>
        </w:rPr>
      </w:pPr>
      <w:r>
        <w:rPr>
          <w:rFonts w:hint="eastAsia" w:ascii="仿宋" w:hAnsi="仿宋" w:eastAsia="仿宋" w:cs="仿宋"/>
          <w:lang w:val="en-US" w:eastAsia="zh-CN"/>
        </w:rPr>
        <w:t>续上表</w:t>
      </w:r>
    </w:p>
    <w:tbl>
      <w:tblPr>
        <w:tblStyle w:val="1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8"/>
        <w:gridCol w:w="2381"/>
        <w:gridCol w:w="1096"/>
        <w:gridCol w:w="986"/>
        <w:gridCol w:w="986"/>
        <w:gridCol w:w="1010"/>
        <w:gridCol w:w="1155"/>
        <w:gridCol w:w="1155"/>
        <w:gridCol w:w="1155"/>
        <w:gridCol w:w="1155"/>
        <w:gridCol w:w="1155"/>
        <w:gridCol w:w="1155"/>
        <w:gridCol w:w="1155"/>
        <w:gridCol w:w="1155"/>
      </w:tblGrid>
      <w:tr w14:paraId="7DB10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vMerge w:val="restart"/>
            <w:tcBorders>
              <w:top w:val="single" w:color="000000" w:sz="4" w:space="0"/>
              <w:left w:val="single" w:color="000000" w:sz="4" w:space="0"/>
              <w:bottom w:val="single" w:color="000000" w:sz="4" w:space="0"/>
              <w:right w:val="single" w:color="000000" w:sz="4" w:space="0"/>
            </w:tcBorders>
            <w:noWrap w:val="0"/>
            <w:vAlign w:val="center"/>
          </w:tcPr>
          <w:p w14:paraId="38F26D32">
            <w:pPr>
              <w:keepNext w:val="0"/>
              <w:keepLines w:val="0"/>
              <w:widowControl/>
              <w:suppressLineNumbers w:val="0"/>
              <w:jc w:val="center"/>
              <w:textAlignment w:val="center"/>
              <w:rPr>
                <w:rFonts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序号</w:t>
            </w:r>
          </w:p>
        </w:tc>
        <w:tc>
          <w:tcPr>
            <w:tcW w:w="730" w:type="pct"/>
            <w:vMerge w:val="restart"/>
            <w:tcBorders>
              <w:top w:val="single" w:color="000000" w:sz="4" w:space="0"/>
              <w:left w:val="single" w:color="000000" w:sz="4" w:space="0"/>
              <w:bottom w:val="single" w:color="000000" w:sz="4" w:space="0"/>
              <w:right w:val="single" w:color="000000" w:sz="4" w:space="0"/>
            </w:tcBorders>
            <w:noWrap w:val="0"/>
            <w:vAlign w:val="center"/>
          </w:tcPr>
          <w:p w14:paraId="112300B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w:t>
            </w:r>
          </w:p>
        </w:tc>
        <w:tc>
          <w:tcPr>
            <w:tcW w:w="277" w:type="pct"/>
            <w:vMerge w:val="restart"/>
            <w:tcBorders>
              <w:top w:val="single" w:color="000000" w:sz="4" w:space="0"/>
              <w:left w:val="single" w:color="000000" w:sz="4" w:space="0"/>
              <w:bottom w:val="single" w:color="000000" w:sz="4" w:space="0"/>
              <w:right w:val="single" w:color="000000" w:sz="4" w:space="0"/>
            </w:tcBorders>
            <w:noWrap w:val="0"/>
            <w:vAlign w:val="center"/>
          </w:tcPr>
          <w:p w14:paraId="552CF09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合计</w:t>
            </w:r>
          </w:p>
        </w:tc>
        <w:tc>
          <w:tcPr>
            <w:tcW w:w="283" w:type="pct"/>
            <w:tcBorders>
              <w:top w:val="single" w:color="000000" w:sz="4" w:space="0"/>
              <w:left w:val="nil"/>
              <w:bottom w:val="single" w:color="000000" w:sz="4" w:space="0"/>
              <w:right w:val="nil"/>
            </w:tcBorders>
            <w:noWrap w:val="0"/>
            <w:vAlign w:val="center"/>
          </w:tcPr>
          <w:p w14:paraId="25D2CD53">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nil"/>
              <w:bottom w:val="single" w:color="000000" w:sz="4" w:space="0"/>
              <w:right w:val="nil"/>
            </w:tcBorders>
            <w:noWrap w:val="0"/>
            <w:vAlign w:val="center"/>
          </w:tcPr>
          <w:p w14:paraId="734EF3A3">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nil"/>
              <w:bottom w:val="single" w:color="000000" w:sz="4" w:space="0"/>
              <w:right w:val="nil"/>
            </w:tcBorders>
            <w:noWrap w:val="0"/>
            <w:vAlign w:val="center"/>
          </w:tcPr>
          <w:p w14:paraId="7CD2519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55CD8AE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74B46E5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1C8209B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69131360">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4E233C8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23BF5E7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nil"/>
            </w:tcBorders>
            <w:noWrap w:val="0"/>
            <w:vAlign w:val="center"/>
          </w:tcPr>
          <w:p w14:paraId="5CD913E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nil"/>
              <w:bottom w:val="single" w:color="000000" w:sz="4" w:space="0"/>
              <w:right w:val="single" w:color="000000" w:sz="4" w:space="0"/>
            </w:tcBorders>
            <w:noWrap w:val="0"/>
            <w:vAlign w:val="center"/>
          </w:tcPr>
          <w:p w14:paraId="7C50D065">
            <w:pPr>
              <w:rPr>
                <w:rFonts w:hint="eastAsia" w:ascii="仿宋" w:hAnsi="仿宋" w:eastAsia="仿宋" w:cs="仿宋"/>
                <w:b w:val="0"/>
                <w:bCs w:val="0"/>
                <w:i w:val="0"/>
                <w:iCs w:val="0"/>
                <w:color w:val="000000"/>
                <w:sz w:val="22"/>
                <w:szCs w:val="22"/>
                <w:u w:val="none"/>
              </w:rPr>
            </w:pPr>
          </w:p>
        </w:tc>
      </w:tr>
      <w:tr w14:paraId="69DA0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29CD2E">
            <w:pPr>
              <w:jc w:val="center"/>
              <w:rPr>
                <w:rFonts w:hint="eastAsia" w:ascii="仿宋" w:hAnsi="仿宋" w:eastAsia="仿宋" w:cs="仿宋"/>
                <w:b w:val="0"/>
                <w:bCs w:val="0"/>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1FC259">
            <w:pPr>
              <w:jc w:val="center"/>
              <w:rPr>
                <w:rFonts w:hint="eastAsia" w:ascii="仿宋" w:hAnsi="仿宋" w:eastAsia="仿宋" w:cs="仿宋"/>
                <w:b w:val="0"/>
                <w:bCs w:val="0"/>
                <w:i w:val="0"/>
                <w:iCs w:val="0"/>
                <w:color w:val="000000"/>
                <w:sz w:val="22"/>
                <w:szCs w:val="22"/>
                <w:u w:val="none"/>
              </w:rPr>
            </w:pPr>
          </w:p>
        </w:tc>
        <w:tc>
          <w:tcPr>
            <w:tcW w:w="27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1520CD">
            <w:pPr>
              <w:jc w:val="cente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0"/>
            <w:vAlign w:val="center"/>
          </w:tcPr>
          <w:p w14:paraId="3FCEFDA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第12年</w:t>
            </w:r>
          </w:p>
        </w:tc>
        <w:tc>
          <w:tcPr>
            <w:tcW w:w="283" w:type="pct"/>
            <w:tcBorders>
              <w:top w:val="single" w:color="000000" w:sz="4" w:space="0"/>
              <w:left w:val="single" w:color="000000" w:sz="4" w:space="0"/>
              <w:bottom w:val="single" w:color="000000" w:sz="4" w:space="0"/>
              <w:right w:val="single" w:color="000000" w:sz="4" w:space="0"/>
            </w:tcBorders>
            <w:noWrap w:val="0"/>
            <w:vAlign w:val="center"/>
          </w:tcPr>
          <w:p w14:paraId="278FDA5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第13年</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14:paraId="6B971E2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第14年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43E14B3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第15年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5DA7E70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第16年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71BCDE9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第17年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62DF717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第18年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054A92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第19年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236D190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第20年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58C43F4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第21年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7215C13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第22年</w:t>
            </w:r>
          </w:p>
        </w:tc>
      </w:tr>
      <w:tr w14:paraId="1FD01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0BB909C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一</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3206DB9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经营活动产生的净现金流量</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2C03AB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10781.55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87920C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555.24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43DEB93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555.24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E4D397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555.24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98D740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578.78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3F4FA8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578.78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4C289E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578.78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CA08CE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603.50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001FC0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603.50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8F6858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603.50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AEF6F1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611.28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B95E7C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597.03 </w:t>
            </w:r>
          </w:p>
        </w:tc>
      </w:tr>
      <w:tr w14:paraId="0095A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572F11F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7C83FBF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F9A9E1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16710.91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C2D8CD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430306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41F4511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E1D941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48B7A5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359BB0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1FD2D5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91CBCB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8DA04F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C39A39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991.51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A7A1E8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991.51 </w:t>
            </w:r>
          </w:p>
        </w:tc>
      </w:tr>
      <w:tr w14:paraId="5BCB3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426931B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08EB6AC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经营收入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9D9B79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16710.91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514456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C0DF05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BA6B9F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856.50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5B4A78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5771C6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80295F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899.33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529940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8AF426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6CE952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944.30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BE5D1D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991.51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FE2C43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991.51 </w:t>
            </w:r>
          </w:p>
        </w:tc>
      </w:tr>
      <w:tr w14:paraId="3CB7F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005FF5B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1.2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230BA6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补贴收入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EB6AD0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E900042">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F4EF100">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6172D91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7F421F0">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FDBF6E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BE3452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4B3628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4151B7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2F731B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48BD9E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961BFFF">
            <w:pPr>
              <w:rPr>
                <w:rFonts w:hint="eastAsia" w:ascii="仿宋" w:hAnsi="仿宋" w:eastAsia="仿宋" w:cs="仿宋"/>
                <w:b w:val="0"/>
                <w:bCs w:val="0"/>
                <w:i w:val="0"/>
                <w:iCs w:val="0"/>
                <w:color w:val="000000"/>
                <w:sz w:val="22"/>
                <w:szCs w:val="22"/>
                <w:u w:val="none"/>
              </w:rPr>
            </w:pPr>
          </w:p>
        </w:tc>
      </w:tr>
      <w:tr w14:paraId="53EE5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78CA620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5C119CD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BB9967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5929.36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BE6E46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301.26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BDD15C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301.26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4E2F869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301.26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69289E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320.55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4161F8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320.55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D4E1F3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320.55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3A7DE2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340.80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8BF6E8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340.80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419EC8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340.80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FACCA2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380.23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D5C9FE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394.48 </w:t>
            </w:r>
          </w:p>
        </w:tc>
      </w:tr>
      <w:tr w14:paraId="17039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7390F23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2.1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590325A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经营成本</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9702BA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4986.03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5B8595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255.78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A1FF1A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255.78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6DAA34C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255.78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2CF1BB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268.23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6EDEC0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268.23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13638D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268.23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716CF3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281.30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4CF93B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281.30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B48110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281.30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1CC1E7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293.91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341E0F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293.91 </w:t>
            </w:r>
          </w:p>
        </w:tc>
      </w:tr>
      <w:tr w14:paraId="6FB39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8210E29">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3AC26D1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相关税费</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（税金及附加+企业所得税）</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97C0A5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943.33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3269F9C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45.48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BBC1D9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45.48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0A4DC6B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45.48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854137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52.32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E8FE54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52.32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F2B57A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52.32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164790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A9876B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85665B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59.50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554D70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86.32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B78C78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100.57 </w:t>
            </w:r>
          </w:p>
        </w:tc>
      </w:tr>
      <w:tr w14:paraId="068C9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23A06F1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二</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23C1FE6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投资活动净现金流量</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C24A0D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D9EE989">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3029855B">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45BD92A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40469C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749756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8B0ACC0">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F01CCE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A9A8B8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DC683B9">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4840E7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1CAC405">
            <w:pPr>
              <w:rPr>
                <w:rFonts w:hint="eastAsia" w:ascii="仿宋" w:hAnsi="仿宋" w:eastAsia="仿宋" w:cs="仿宋"/>
                <w:b w:val="0"/>
                <w:bCs w:val="0"/>
                <w:i w:val="0"/>
                <w:iCs w:val="0"/>
                <w:color w:val="000000"/>
                <w:sz w:val="22"/>
                <w:szCs w:val="22"/>
                <w:u w:val="none"/>
              </w:rPr>
            </w:pPr>
          </w:p>
        </w:tc>
      </w:tr>
      <w:tr w14:paraId="3F948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DBBB998">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242C04B8">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777E50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21125E1">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BDB8F93">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573E9A5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07D7B7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DC5239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F7B26E9">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09FA7F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009E5B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6A1672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08C4D4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5E42F19">
            <w:pPr>
              <w:rPr>
                <w:rFonts w:hint="eastAsia" w:ascii="仿宋" w:hAnsi="仿宋" w:eastAsia="仿宋" w:cs="仿宋"/>
                <w:b w:val="0"/>
                <w:bCs w:val="0"/>
                <w:i w:val="0"/>
                <w:iCs w:val="0"/>
                <w:color w:val="000000"/>
                <w:sz w:val="22"/>
                <w:szCs w:val="22"/>
                <w:u w:val="none"/>
              </w:rPr>
            </w:pPr>
          </w:p>
        </w:tc>
      </w:tr>
      <w:tr w14:paraId="6FC0D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4FDD317F">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52C9E14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处置投资物</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F10EE3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5A619DE">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99B4FEE">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1530616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3B56646">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26CC6E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6276F5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121605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5A9F6C9">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5C6D5F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D108FD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EA820A3">
            <w:pPr>
              <w:rPr>
                <w:rFonts w:hint="eastAsia" w:ascii="仿宋" w:hAnsi="仿宋" w:eastAsia="仿宋" w:cs="仿宋"/>
                <w:b w:val="0"/>
                <w:bCs w:val="0"/>
                <w:i w:val="0"/>
                <w:iCs w:val="0"/>
                <w:color w:val="000000"/>
                <w:sz w:val="22"/>
                <w:szCs w:val="22"/>
                <w:u w:val="none"/>
              </w:rPr>
            </w:pPr>
          </w:p>
        </w:tc>
      </w:tr>
      <w:tr w14:paraId="43E3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807762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65DFCCE7">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收到其他投资</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EA8078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E1B8DE8">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CBE9764">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74C68FA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D4AF53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BA7B101">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0D19A0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0B92F5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02BF85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16D74E6">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97D20B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297614F">
            <w:pPr>
              <w:rPr>
                <w:rFonts w:hint="eastAsia" w:ascii="仿宋" w:hAnsi="仿宋" w:eastAsia="仿宋" w:cs="仿宋"/>
                <w:b w:val="0"/>
                <w:bCs w:val="0"/>
                <w:i w:val="0"/>
                <w:iCs w:val="0"/>
                <w:color w:val="000000"/>
                <w:sz w:val="22"/>
                <w:szCs w:val="22"/>
                <w:u w:val="none"/>
              </w:rPr>
            </w:pPr>
          </w:p>
        </w:tc>
      </w:tr>
      <w:tr w14:paraId="5987F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DBB86A6">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3C53B64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833869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5441CEE">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23C041F">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17CB5C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402A98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D36C0C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8A41336">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7D094B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47B4CE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67350A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C2522C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5A4E1D9">
            <w:pPr>
              <w:rPr>
                <w:rFonts w:hint="eastAsia" w:ascii="仿宋" w:hAnsi="仿宋" w:eastAsia="仿宋" w:cs="仿宋"/>
                <w:b w:val="0"/>
                <w:bCs w:val="0"/>
                <w:i w:val="0"/>
                <w:iCs w:val="0"/>
                <w:color w:val="000000"/>
                <w:sz w:val="22"/>
                <w:szCs w:val="22"/>
                <w:u w:val="none"/>
              </w:rPr>
            </w:pPr>
          </w:p>
        </w:tc>
      </w:tr>
      <w:tr w14:paraId="60E39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25949E7C">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7B82783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097609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8368.00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10119E6">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4C4FD4C8">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3302C13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836663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519D5B9">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29788A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647993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5BA3F51">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23ECD80">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C82918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05B3049">
            <w:pPr>
              <w:rPr>
                <w:rFonts w:hint="eastAsia" w:ascii="仿宋" w:hAnsi="仿宋" w:eastAsia="仿宋" w:cs="仿宋"/>
                <w:b w:val="0"/>
                <w:bCs w:val="0"/>
                <w:i w:val="0"/>
                <w:iCs w:val="0"/>
                <w:color w:val="000000"/>
                <w:sz w:val="22"/>
                <w:szCs w:val="22"/>
                <w:u w:val="none"/>
              </w:rPr>
            </w:pPr>
          </w:p>
        </w:tc>
      </w:tr>
      <w:tr w14:paraId="79681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5D97BEC">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3A3A02FA">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维持运营投资</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06EEC4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4B466702">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A788F4F">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1C2C032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659488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1B6B29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AC4A4E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BE4295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8058DC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C06D75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1199C0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ABE68AC">
            <w:pPr>
              <w:rPr>
                <w:rFonts w:hint="eastAsia" w:ascii="仿宋" w:hAnsi="仿宋" w:eastAsia="仿宋" w:cs="仿宋"/>
                <w:b w:val="0"/>
                <w:bCs w:val="0"/>
                <w:i w:val="0"/>
                <w:iCs w:val="0"/>
                <w:color w:val="000000"/>
                <w:sz w:val="22"/>
                <w:szCs w:val="22"/>
                <w:u w:val="none"/>
              </w:rPr>
            </w:pPr>
          </w:p>
        </w:tc>
      </w:tr>
      <w:tr w14:paraId="1800A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2D8293C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三</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7091E421">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筹措活动净现金流量</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74CA67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742.50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82D7F3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1A677E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328F580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A0AB7E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C4F9C0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57DD6D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419D87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085ABF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3E1FC6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2FE63B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-1595.00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EE87FA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-1038.00 </w:t>
            </w:r>
          </w:p>
        </w:tc>
      </w:tr>
      <w:tr w14:paraId="2B15D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4E48FD0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2D88AC9E">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243A6D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8667.00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74AA98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8492CD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7B18FB5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9E4E41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75096C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F3A60A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06FEDA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7069CD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3AF505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32394B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CE8A30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0.00 </w:t>
            </w:r>
          </w:p>
        </w:tc>
      </w:tr>
      <w:tr w14:paraId="0714A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608B442">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4DE07EF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项目资本金投入</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998AA3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4167.00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42A7C807">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374FC35">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741DED3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488799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3E7775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0FEA613">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A67C295">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089ED1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A52F404">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B7AA05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F775AC9">
            <w:pPr>
              <w:rPr>
                <w:rFonts w:hint="eastAsia" w:ascii="仿宋" w:hAnsi="仿宋" w:eastAsia="仿宋" w:cs="仿宋"/>
                <w:b w:val="0"/>
                <w:bCs w:val="0"/>
                <w:i w:val="0"/>
                <w:iCs w:val="0"/>
                <w:color w:val="000000"/>
                <w:sz w:val="22"/>
                <w:szCs w:val="22"/>
                <w:u w:val="none"/>
              </w:rPr>
            </w:pPr>
          </w:p>
        </w:tc>
      </w:tr>
      <w:tr w14:paraId="30972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3D973F6D">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7520FA7C">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专项债券资金</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F7289B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38E0A09">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8ABC1E7">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58D5C26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D701791">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CA4DE92">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CBDA22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C67D11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E8F58A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ADAAD8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01C6EA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70210C7">
            <w:pPr>
              <w:rPr>
                <w:rFonts w:hint="eastAsia" w:ascii="仿宋" w:hAnsi="仿宋" w:eastAsia="仿宋" w:cs="仿宋"/>
                <w:b w:val="0"/>
                <w:bCs w:val="0"/>
                <w:i w:val="0"/>
                <w:iCs w:val="0"/>
                <w:color w:val="000000"/>
                <w:sz w:val="22"/>
                <w:szCs w:val="22"/>
                <w:u w:val="none"/>
              </w:rPr>
            </w:pPr>
          </w:p>
        </w:tc>
      </w:tr>
      <w:tr w14:paraId="51FDE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2CBA3F0A">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4F389B84">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现金流出</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BCAA44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7924.50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5761D1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6E8813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391E4A9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BF3738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4B54FE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6D1120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99FDA3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453EBB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35A565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D75986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1595.00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9F7DC3A">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1038.00 </w:t>
            </w:r>
          </w:p>
        </w:tc>
      </w:tr>
      <w:tr w14:paraId="7B064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503CA930">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33A0EC9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支付债券利息</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4C2C9C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3420.00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EA73F8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E8102D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003568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21C752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330F14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17F2D7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936955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700184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80A889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171.00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5281E5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95.00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8BDFB6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38.00 </w:t>
            </w:r>
          </w:p>
        </w:tc>
      </w:tr>
      <w:tr w14:paraId="1E1EA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51536BBA">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51A18DE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支付债券发行费用</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AEB382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54E8A83">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099256BE">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502A14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E9F193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9C92851">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A4D54B9">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01D613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CF4BF5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6FB6DE7">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B4C1CB1">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F8FB2B2">
            <w:pPr>
              <w:rPr>
                <w:rFonts w:hint="eastAsia" w:ascii="仿宋" w:hAnsi="仿宋" w:eastAsia="仿宋" w:cs="仿宋"/>
                <w:b w:val="0"/>
                <w:bCs w:val="0"/>
                <w:i w:val="0"/>
                <w:iCs w:val="0"/>
                <w:color w:val="000000"/>
                <w:sz w:val="22"/>
                <w:szCs w:val="22"/>
                <w:u w:val="none"/>
              </w:rPr>
            </w:pPr>
          </w:p>
        </w:tc>
      </w:tr>
      <w:tr w14:paraId="6CC04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4D232C20">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2.5</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61FBCF42">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支付专项债券本金</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FDF1BF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4500.00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7EC25EF">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88BF47F">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3E048806">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250FB4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7775F4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FF7E87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A3D1B9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2A439DE">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BCFB0A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2000.00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D333E1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1500.00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D36459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1000.00 </w:t>
            </w:r>
          </w:p>
        </w:tc>
      </w:tr>
      <w:tr w14:paraId="13724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7523A7F6">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四</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02962B8B">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现金流量总计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EA8525A">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60250CC">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373BBC43">
            <w:pPr>
              <w:rPr>
                <w:rFonts w:hint="eastAsia" w:ascii="仿宋" w:hAnsi="仿宋" w:eastAsia="仿宋" w:cs="仿宋"/>
                <w:b w:val="0"/>
                <w:bCs w:val="0"/>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46E0A8C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2B947AD">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EDFD2AC">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4796C7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88A5468">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F02ABAA">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20353AB">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8064AFF">
            <w:pPr>
              <w:rPr>
                <w:rFonts w:hint="eastAsia" w:ascii="仿宋" w:hAnsi="仿宋" w:eastAsia="仿宋" w:cs="仿宋"/>
                <w:b w:val="0"/>
                <w:bCs w:val="0"/>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BBFC2DD">
            <w:pPr>
              <w:rPr>
                <w:rFonts w:hint="eastAsia" w:ascii="仿宋" w:hAnsi="仿宋" w:eastAsia="仿宋" w:cs="仿宋"/>
                <w:b w:val="0"/>
                <w:bCs w:val="0"/>
                <w:i w:val="0"/>
                <w:iCs w:val="0"/>
                <w:color w:val="000000"/>
                <w:sz w:val="22"/>
                <w:szCs w:val="22"/>
                <w:u w:val="none"/>
              </w:rPr>
            </w:pPr>
          </w:p>
        </w:tc>
      </w:tr>
      <w:tr w14:paraId="52BFA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7B7B64EC">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1</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01CD69C5">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项目期的期初资金</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2EF9F66">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60B9BD2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2907.19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25CEEA8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3291.42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36891BB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3675.66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E23CE3F">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4059.90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45AF28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4467.68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EAE1B1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4875.46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66E874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5283.24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02338DB">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5715.73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612185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6148.23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3C741A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4580.73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0E9B10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3597.01 </w:t>
            </w:r>
          </w:p>
        </w:tc>
      </w:tr>
      <w:tr w14:paraId="1711B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074DF0E4">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2</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5DF7D1A9">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项目期内现金变动</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（一+二+三）</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9B11A45">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3156.05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3A6990D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384.24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103769B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384.24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51AE413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384.24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0D927BD">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407.78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06FA1A9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407.78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4D670362">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407.78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F91CA2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432.50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4939F8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432.50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24ACC8C1">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-1567.50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A31E173">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-983.72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B2DB13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-440.97 </w:t>
            </w:r>
          </w:p>
        </w:tc>
      </w:tr>
      <w:tr w14:paraId="52CD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14:paraId="63C8C243">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eastAsia="宋体" w:cs="Times New Roman"/>
                <w:b w:val="0"/>
                <w:bCs w:val="0"/>
                <w:i w:val="0"/>
                <w:iCs w:val="0"/>
                <w:color w:val="000000"/>
                <w:kern w:val="0"/>
                <w:sz w:val="22"/>
                <w:szCs w:val="22"/>
                <w:u w:val="none"/>
                <w:lang w:val="en-US" w:eastAsia="zh-CN" w:bidi="ar"/>
              </w:rPr>
              <w:t>3</w:t>
            </w:r>
          </w:p>
        </w:tc>
        <w:tc>
          <w:tcPr>
            <w:tcW w:w="730" w:type="pct"/>
            <w:tcBorders>
              <w:top w:val="single" w:color="000000" w:sz="4" w:space="0"/>
              <w:left w:val="single" w:color="000000" w:sz="4" w:space="0"/>
              <w:bottom w:val="single" w:color="000000" w:sz="4" w:space="0"/>
              <w:right w:val="single" w:color="000000" w:sz="4" w:space="0"/>
            </w:tcBorders>
            <w:noWrap w:val="0"/>
            <w:vAlign w:val="center"/>
          </w:tcPr>
          <w:p w14:paraId="75F7097F">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项目期的期末资金</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05B663">
            <w:pPr>
              <w:rPr>
                <w:rFonts w:hint="eastAsia" w:ascii="仿宋" w:hAnsi="仿宋" w:eastAsia="仿宋" w:cs="仿宋"/>
                <w:b w:val="0"/>
                <w:bCs w:val="0"/>
                <w:i w:val="0"/>
                <w:iCs w:val="0"/>
                <w:color w:val="000000"/>
                <w:sz w:val="22"/>
                <w:szCs w:val="22"/>
                <w:u w:val="none"/>
              </w:rPr>
            </w:pP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56132C07">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3291.42 </w:t>
            </w:r>
          </w:p>
        </w:tc>
        <w:tc>
          <w:tcPr>
            <w:tcW w:w="283" w:type="pct"/>
            <w:tcBorders>
              <w:top w:val="single" w:color="000000" w:sz="4" w:space="0"/>
              <w:left w:val="single" w:color="000000" w:sz="4" w:space="0"/>
              <w:bottom w:val="single" w:color="000000" w:sz="4" w:space="0"/>
              <w:right w:val="single" w:color="000000" w:sz="4" w:space="0"/>
            </w:tcBorders>
            <w:noWrap/>
            <w:vAlign w:val="center"/>
          </w:tcPr>
          <w:p w14:paraId="736E573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3675.66 </w:t>
            </w:r>
          </w:p>
        </w:tc>
        <w:tc>
          <w:tcPr>
            <w:tcW w:w="314" w:type="pct"/>
            <w:tcBorders>
              <w:top w:val="single" w:color="000000" w:sz="4" w:space="0"/>
              <w:left w:val="single" w:color="000000" w:sz="4" w:space="0"/>
              <w:bottom w:val="single" w:color="000000" w:sz="4" w:space="0"/>
              <w:right w:val="single" w:color="000000" w:sz="4" w:space="0"/>
            </w:tcBorders>
            <w:noWrap/>
            <w:vAlign w:val="center"/>
          </w:tcPr>
          <w:p w14:paraId="2BB414B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4059.90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A969788">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4467.68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C3AAB90">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4875.46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71A7D7FE">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5283.24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6EC82E2C">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5715.73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380BF5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6148.23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355C4E46">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4580.73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19E2F0D4">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3597.01 </w:t>
            </w:r>
          </w:p>
        </w:tc>
        <w:tc>
          <w:tcPr>
            <w:tcW w:w="358" w:type="pct"/>
            <w:tcBorders>
              <w:top w:val="single" w:color="000000" w:sz="4" w:space="0"/>
              <w:left w:val="single" w:color="000000" w:sz="4" w:space="0"/>
              <w:bottom w:val="single" w:color="000000" w:sz="4" w:space="0"/>
              <w:right w:val="single" w:color="000000" w:sz="4" w:space="0"/>
            </w:tcBorders>
            <w:noWrap/>
            <w:vAlign w:val="center"/>
          </w:tcPr>
          <w:p w14:paraId="5EBEB469">
            <w:pPr>
              <w:keepNext w:val="0"/>
              <w:keepLines w:val="0"/>
              <w:widowControl/>
              <w:suppressLineNumbers w:val="0"/>
              <w:jc w:val="righ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 xml:space="preserve">3156.05 </w:t>
            </w:r>
          </w:p>
        </w:tc>
      </w:tr>
    </w:tbl>
    <w:p w14:paraId="4CD25311">
      <w:pPr>
        <w:pStyle w:val="9"/>
        <w:rPr>
          <w:rFonts w:hint="eastAsia"/>
          <w:lang w:val="en-US" w:eastAsia="zh-CN"/>
        </w:rPr>
      </w:pPr>
    </w:p>
    <w:p w14:paraId="4C27547D">
      <w:pPr>
        <w:widowControl w:val="0"/>
        <w:adjustRightInd w:val="0"/>
        <w:snapToGrid w:val="0"/>
        <w:jc w:val="both"/>
        <w:rPr>
          <w:rFonts w:hAnsi="仿宋" w:cs="宋体"/>
          <w:bCs/>
          <w:color w:val="000000"/>
          <w:sz w:val="22"/>
          <w:szCs w:val="32"/>
        </w:rPr>
      </w:pPr>
    </w:p>
    <w:p w14:paraId="7345955D">
      <w:pPr>
        <w:pStyle w:val="5"/>
        <w:widowControl w:val="0"/>
        <w:adjustRightInd w:val="0"/>
        <w:snapToGrid w:val="0"/>
        <w:spacing w:before="120" w:after="120"/>
        <w:ind w:left="0"/>
        <w:jc w:val="both"/>
        <w:rPr>
          <w:rFonts w:hint="eastAsia" w:cs="Times New Roman"/>
          <w:sz w:val="28"/>
          <w:szCs w:val="28"/>
          <w:lang w:val="en-US" w:bidi="ar-SA"/>
        </w:rPr>
        <w:sectPr>
          <w:pgSz w:w="16840" w:h="11900" w:orient="landscape"/>
          <w:pgMar w:top="1588" w:right="283" w:bottom="1588" w:left="283" w:header="851" w:footer="992" w:gutter="0"/>
          <w:pgBorders>
            <w:top w:val="none" w:sz="0" w:space="0"/>
            <w:left w:val="none" w:sz="0" w:space="0"/>
            <w:bottom w:val="none" w:sz="0" w:space="0"/>
            <w:right w:val="none" w:sz="0" w:space="0"/>
          </w:pgBorders>
          <w:cols w:space="720" w:num="1"/>
          <w:docGrid w:linePitch="312" w:charSpace="0"/>
        </w:sectPr>
      </w:pPr>
    </w:p>
    <w:p w14:paraId="3FF0468D">
      <w:pPr>
        <w:adjustRightInd/>
        <w:snapToGrid/>
        <w:spacing w:line="560" w:lineRule="exact"/>
        <w:ind w:firstLine="640"/>
        <w:outlineLvl w:val="0"/>
        <w:rPr>
          <w:rFonts w:hint="eastAsia" w:ascii="仿宋" w:hAnsi="仿宋" w:eastAsia="仿宋" w:cs="仿宋"/>
          <w:sz w:val="32"/>
          <w:szCs w:val="32"/>
        </w:rPr>
      </w:pPr>
      <w:r>
        <w:rPr>
          <w:rFonts w:hint="eastAsia" w:ascii="仿宋" w:hAnsi="仿宋" w:eastAsia="仿宋" w:cs="仿宋"/>
          <w:sz w:val="32"/>
          <w:szCs w:val="32"/>
        </w:rPr>
        <w:t>五、项目绩效目标</w:t>
      </w:r>
    </w:p>
    <w:p w14:paraId="1E163F39">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1.项目总体建设目标</w:t>
      </w:r>
    </w:p>
    <w:p w14:paraId="2C012032">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1：对天全县始阳片区新村社区、兴中社区、新民社区、乐坝社区、盐店社区、大坪社区、凤翔社区、多功社区等社区周边燃气管网地质灾害及隐患点治理约148处、户内燃气管道隐患治理及改造约7362户、场站设施隐患治理及改造1座、老旧燃气表更新约4505台、市政管网更新改造约15.27km等。</w:t>
      </w:r>
    </w:p>
    <w:p w14:paraId="0191E39C">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 2：在2027年10月31日前完成项目竣工验收</w:t>
      </w:r>
    </w:p>
    <w:p w14:paraId="2AFDBA30">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 3：债券存续期内实现年度收支平衡和总体收支平衡</w:t>
      </w:r>
    </w:p>
    <w:p w14:paraId="4BC7D5A7">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2.2025年绩效目标</w:t>
      </w:r>
    </w:p>
    <w:p w14:paraId="701A7D64">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对天全县始阳片区新村社区、兴中社区、新民社区、乐坝社区、盐店社区、大坪社区、凤翔社区、多功社区等社区周边燃气管网地质灾害及隐患点治理约148处、户内燃气管道隐患治理及改造约7362户。</w:t>
      </w:r>
    </w:p>
    <w:p w14:paraId="540769C8">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（2）质量指标</w:t>
      </w:r>
    </w:p>
    <w:p w14:paraId="2DCB2B63">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1.项目总体质量指标</w:t>
      </w:r>
    </w:p>
    <w:p w14:paraId="3BF7141E">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工程验收合格率达到95%以上，政府债券资金规范管理使用率达到100%</w:t>
      </w:r>
    </w:p>
    <w:p w14:paraId="0D91209B">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 2025年质量指标</w:t>
      </w:r>
    </w:p>
    <w:p w14:paraId="70A6A4A5">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工程验收合格率达到95%以上，政府债券资金规范管理使用率达到100%</w:t>
      </w:r>
    </w:p>
    <w:p w14:paraId="47466FF5">
      <w:pPr>
        <w:pStyle w:val="27"/>
        <w:keepNext w:val="0"/>
        <w:keepLines w:val="0"/>
        <w:pageBreakBefore w:val="0"/>
        <w:widowControl/>
        <w:numPr>
          <w:ilvl w:val="0"/>
          <w:numId w:val="1"/>
        </w:numPr>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时效指标</w:t>
      </w:r>
    </w:p>
    <w:p w14:paraId="600AEFD7">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1.项目总体时效指标</w:t>
      </w:r>
    </w:p>
    <w:p w14:paraId="1686230E">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工程量、配套设施按期完成，政府债券资金三个月内要形成支出。</w:t>
      </w:r>
    </w:p>
    <w:p w14:paraId="7A4EAF3C">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 2025年时效指标</w:t>
      </w:r>
    </w:p>
    <w:p w14:paraId="64FA2BF5">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工程量、配套设施按期完成，政府债券资金三个月内要形成支出。</w:t>
      </w:r>
    </w:p>
    <w:p w14:paraId="0F34130C">
      <w:pPr>
        <w:pStyle w:val="27"/>
        <w:keepNext w:val="0"/>
        <w:keepLines w:val="0"/>
        <w:pageBreakBefore w:val="0"/>
        <w:widowControl/>
        <w:numPr>
          <w:ilvl w:val="0"/>
          <w:numId w:val="1"/>
        </w:numPr>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成本指标</w:t>
      </w:r>
    </w:p>
    <w:p w14:paraId="1EECE955">
      <w:pPr>
        <w:pStyle w:val="27"/>
        <w:keepNext w:val="0"/>
        <w:keepLines w:val="0"/>
        <w:pageBreakBefore w:val="0"/>
        <w:widowControl/>
        <w:kinsoku/>
        <w:wordWrap/>
        <w:overflowPunct/>
        <w:topLinePunct w:val="0"/>
        <w:autoSpaceDE/>
        <w:autoSpaceDN/>
        <w:bidi w:val="0"/>
        <w:adjustRightInd/>
        <w:snapToGrid/>
        <w:spacing w:before="157" w:beforeLines="50"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1.项目总体成本指标</w:t>
      </w:r>
    </w:p>
    <w:p w14:paraId="6A70CDD3">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项目建设成本小于8667.00万元</w:t>
      </w:r>
    </w:p>
    <w:p w14:paraId="6EF58A48">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2.2025年成本指标</w:t>
      </w:r>
    </w:p>
    <w:p w14:paraId="136ACBB0">
      <w:pPr>
        <w:pStyle w:val="27"/>
        <w:keepNext w:val="0"/>
        <w:keepLines w:val="0"/>
        <w:pageBreakBefore w:val="0"/>
        <w:widowControl/>
        <w:kinsoku/>
        <w:wordWrap/>
        <w:overflowPunct/>
        <w:topLinePunct w:val="0"/>
        <w:autoSpaceDE/>
        <w:autoSpaceDN/>
        <w:bidi w:val="0"/>
        <w:spacing w:line="360" w:lineRule="auto"/>
        <w:ind w:left="0"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项目建设成本小于4000.00万元.</w:t>
      </w:r>
    </w:p>
    <w:p w14:paraId="025315DE">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5、可持续影响指标</w:t>
      </w:r>
    </w:p>
    <w:p w14:paraId="7D937BE8">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指标1：运营期限——≧20年</w:t>
      </w:r>
    </w:p>
    <w:p w14:paraId="3A59935D">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指标2：带动区域协同发展——达成预期目标</w:t>
      </w:r>
    </w:p>
    <w:p w14:paraId="3A6CB61B">
      <w:pPr>
        <w:adjustRightInd/>
        <w:snapToGrid/>
        <w:spacing w:line="560" w:lineRule="exact"/>
        <w:ind w:firstLine="640"/>
        <w:outlineLvl w:val="0"/>
        <w:rPr>
          <w:rFonts w:hint="eastAsia" w:ascii="仿宋" w:hAnsi="仿宋" w:eastAsia="仿宋" w:cs="仿宋"/>
          <w:sz w:val="28"/>
          <w:szCs w:val="32"/>
        </w:rPr>
      </w:pPr>
      <w:r>
        <w:rPr>
          <w:rFonts w:hint="eastAsia" w:ascii="仿宋" w:hAnsi="仿宋" w:eastAsia="仿宋" w:cs="仿宋"/>
          <w:sz w:val="32"/>
          <w:szCs w:val="32"/>
        </w:rPr>
        <w:t>六、潜在影响项目的风险评估</w:t>
      </w:r>
    </w:p>
    <w:p w14:paraId="63D161DA">
      <w:pPr>
        <w:spacing w:beforeLines="50" w:afterLines="50" w:line="360" w:lineRule="auto"/>
        <w:ind w:firstLine="560" w:firstLineChars="200"/>
        <w:jc w:val="both"/>
        <w:outlineLvl w:val="1"/>
        <w:rPr>
          <w:rFonts w:hint="eastAsia" w:ascii="仿宋" w:hAnsi="仿宋" w:eastAsia="仿宋" w:cs="仿宋"/>
          <w:sz w:val="28"/>
          <w:szCs w:val="28"/>
          <w:lang w:val="en-US" w:eastAsia="zh-CN"/>
        </w:rPr>
      </w:pPr>
      <w:bookmarkStart w:id="88" w:name="_Toc15343"/>
      <w:bookmarkStart w:id="89" w:name="_Toc522211123"/>
      <w:r>
        <w:rPr>
          <w:rFonts w:hint="eastAsia" w:ascii="仿宋" w:hAnsi="仿宋" w:eastAsia="仿宋" w:cs="仿宋"/>
          <w:sz w:val="28"/>
          <w:szCs w:val="28"/>
          <w:lang w:val="en-US" w:eastAsia="zh-CN"/>
        </w:rPr>
        <w:t>1.经营风险</w:t>
      </w:r>
      <w:bookmarkEnd w:id="88"/>
      <w:bookmarkEnd w:id="89"/>
    </w:p>
    <w:p w14:paraId="4002E27F">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风险识别：经营风险是指生产经营的不确定性带来的风险。若项目投入运营后的收入未能达到预测值，将影响项目整体收益，对债券还本付息产生影响。</w:t>
      </w:r>
    </w:p>
    <w:p w14:paraId="77A878CE">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风险控制措施：要求项目管理单位密切关注价格的收取情况，根据实际调整运营成本及业务体系，保证还本付息资金。</w:t>
      </w:r>
      <w:bookmarkStart w:id="90" w:name="_Toc522211124"/>
      <w:bookmarkStart w:id="91" w:name="_Toc4440"/>
    </w:p>
    <w:p w14:paraId="7FEAB1A0">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2.市场风险</w:t>
      </w:r>
      <w:bookmarkEnd w:id="90"/>
      <w:bookmarkEnd w:id="91"/>
    </w:p>
    <w:p w14:paraId="3F4C2744">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3E7ECA38">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风险控制措施：要求项目单位合理安排债券发行金额和债券期限，做好债券的期限配比、还款计划和资金准备。</w:t>
      </w:r>
    </w:p>
    <w:p w14:paraId="75F2C47A">
      <w:pPr>
        <w:spacing w:beforeLines="50" w:afterLines="50" w:line="360" w:lineRule="auto"/>
        <w:ind w:firstLine="560" w:firstLineChars="200"/>
        <w:jc w:val="both"/>
        <w:outlineLvl w:val="1"/>
        <w:rPr>
          <w:rFonts w:hint="eastAsia" w:ascii="仿宋" w:hAnsi="仿宋" w:eastAsia="仿宋" w:cs="仿宋"/>
          <w:sz w:val="28"/>
          <w:szCs w:val="28"/>
          <w:lang w:val="en-US" w:eastAsia="zh-CN"/>
        </w:rPr>
      </w:pPr>
      <w:bookmarkStart w:id="92" w:name="_Toc15747"/>
      <w:bookmarkStart w:id="93" w:name="_Toc522211125"/>
      <w:r>
        <w:rPr>
          <w:rFonts w:hint="eastAsia" w:ascii="仿宋" w:hAnsi="仿宋" w:eastAsia="仿宋" w:cs="仿宋"/>
          <w:sz w:val="28"/>
          <w:szCs w:val="28"/>
          <w:lang w:val="en-US" w:eastAsia="zh-CN"/>
        </w:rPr>
        <w:t>3.财务风险</w:t>
      </w:r>
      <w:bookmarkEnd w:id="92"/>
      <w:bookmarkEnd w:id="93"/>
    </w:p>
    <w:p w14:paraId="2CE3FABE">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2FD36446">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风险控制措施：项目可行性研究报告编制过程中，在测算项目总投资时已考虑相关风险。同时，在项目建设过程中，加强项目施工预算管理、招标及合同管理，尽可能控制建设成本。</w:t>
      </w:r>
    </w:p>
    <w:p w14:paraId="6E4CF170">
      <w:pPr>
        <w:adjustRightInd/>
        <w:snapToGrid/>
        <w:spacing w:line="560" w:lineRule="exact"/>
        <w:ind w:firstLine="640"/>
        <w:outlineLvl w:val="0"/>
        <w:rPr>
          <w:rFonts w:hint="eastAsia" w:ascii="仿宋" w:hAnsi="仿宋" w:eastAsia="仿宋" w:cs="仿宋"/>
          <w:sz w:val="32"/>
          <w:szCs w:val="32"/>
        </w:rPr>
      </w:pPr>
      <w:r>
        <w:rPr>
          <w:rFonts w:hint="eastAsia" w:ascii="仿宋" w:hAnsi="仿宋" w:eastAsia="仿宋" w:cs="仿宋"/>
          <w:sz w:val="32"/>
          <w:szCs w:val="32"/>
        </w:rPr>
        <w:t>七、还款保障情况</w:t>
      </w:r>
    </w:p>
    <w:p w14:paraId="7D1B12FD">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737EE93B">
      <w:pPr>
        <w:adjustRightInd/>
        <w:snapToGrid/>
        <w:spacing w:line="560" w:lineRule="exact"/>
        <w:outlineLvl w:val="0"/>
        <w:rPr>
          <w:rFonts w:hint="eastAsia" w:ascii="仿宋" w:hAnsi="仿宋" w:eastAsia="仿宋" w:cs="仿宋"/>
          <w:sz w:val="32"/>
          <w:szCs w:val="32"/>
        </w:rPr>
      </w:pPr>
      <w:r>
        <w:rPr>
          <w:rFonts w:hint="eastAsia" w:ascii="仿宋" w:hAnsi="仿宋" w:eastAsia="仿宋" w:cs="仿宋"/>
          <w:sz w:val="32"/>
          <w:szCs w:val="32"/>
        </w:rPr>
        <w:t>八、主管部门</w:t>
      </w:r>
      <w:r>
        <w:rPr>
          <w:rFonts w:hint="eastAsia" w:ascii="仿宋" w:hAnsi="仿宋" w:eastAsia="仿宋" w:cs="仿宋"/>
          <w:sz w:val="32"/>
          <w:szCs w:val="32"/>
          <w:lang w:val="en-US" w:eastAsia="zh-CN"/>
        </w:rPr>
        <w:t>和项目单位职责</w:t>
      </w:r>
    </w:p>
    <w:p w14:paraId="5BCDF1E1">
      <w:pPr>
        <w:spacing w:line="560" w:lineRule="exact"/>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（一）主管部门责任</w:t>
      </w:r>
    </w:p>
    <w:p w14:paraId="288B5338">
      <w:pPr>
        <w:spacing w:line="560" w:lineRule="exact"/>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本项目主管部门为天全县住房和城乡建设局，债务单位行业主管部门是政府性债务风险应急处置的责任主体，负责定期梳理本行业政府性债务风险情况，督促举借债务或使用债务资金的有关单位制定本单位债务风险应急预案；当出现债务风险事件时，落实债务还款资金安排，及时向债务应急领导小组报告。</w:t>
      </w:r>
    </w:p>
    <w:p w14:paraId="6E20A115">
      <w:pPr>
        <w:spacing w:line="560" w:lineRule="exact"/>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（二）项目单位职责</w:t>
      </w:r>
    </w:p>
    <w:p w14:paraId="5E2F6EAE">
      <w:pPr>
        <w:spacing w:line="560" w:lineRule="exact"/>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本项目项目部门为天全县天睿能源开发有限责任公司，单位应制定切实可行的实施方案及项目管理制度，加强债券资金管理，建立相关的债券资金使用管理办法，强化项目财务管理及监督，建立健全。运行管理制度，明确分工，确保项目发挥应有效能。合理安排债券发行金额和债券期限，做好债券的期限配比、还款计划和资金准备。加强项目绩效管理，强化项目绩效的过程管理，防范实施过程中可能存在的各种风险，建立健全内控风险防范措施及制度，确保项目各项绩效目标如期实现。</w:t>
      </w:r>
    </w:p>
    <w:p w14:paraId="4C98CCBC">
      <w:pPr>
        <w:keepNext w:val="0"/>
        <w:keepLines w:val="0"/>
        <w:pageBreakBefore w:val="0"/>
        <w:kinsoku/>
        <w:wordWrap/>
        <w:overflowPunct/>
        <w:topLinePunct w:val="0"/>
        <w:autoSpaceDE/>
        <w:autoSpaceDN/>
        <w:bidi w:val="0"/>
        <w:adjustRightInd/>
        <w:snapToGrid/>
        <w:spacing w:line="360" w:lineRule="auto"/>
        <w:ind w:firstLine="640"/>
        <w:textAlignment w:val="auto"/>
        <w:outlineLvl w:val="0"/>
        <w:rPr>
          <w:rFonts w:hint="eastAsia" w:ascii="仿宋" w:hAnsi="仿宋" w:eastAsia="仿宋" w:cs="仿宋"/>
          <w:kern w:val="2"/>
          <w:sz w:val="28"/>
          <w:szCs w:val="28"/>
          <w:lang w:val="en-US" w:eastAsia="zh-CN" w:bidi="ar-SA"/>
        </w:rPr>
      </w:pPr>
      <w:r>
        <w:rPr>
          <w:rFonts w:hint="eastAsia" w:eastAsia="黑体"/>
          <w:sz w:val="32"/>
          <w:szCs w:val="32"/>
        </w:rPr>
        <w:t>九</w:t>
      </w:r>
      <w:r>
        <w:rPr>
          <w:rFonts w:hint="eastAsia" w:eastAsia="黑体"/>
          <w:sz w:val="32"/>
          <w:szCs w:val="32"/>
          <w:lang w:eastAsia="zh-CN"/>
        </w:rPr>
        <w:t>、</w:t>
      </w:r>
      <w:r>
        <w:rPr>
          <w:rFonts w:hint="eastAsia" w:eastAsia="黑体"/>
          <w:sz w:val="32"/>
          <w:szCs w:val="32"/>
        </w:rPr>
        <w:t>补充说明</w:t>
      </w:r>
    </w:p>
    <w:p w14:paraId="3D7DAEB8">
      <w:pPr>
        <w:pStyle w:val="5"/>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outlineLvl w:val="9"/>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根据发行计划及额度安排,此项目2025年拟申请发行2000.00万元，本次拟发行2000.00万元，期限20年。</w:t>
      </w:r>
    </w:p>
    <w:sectPr>
      <w:headerReference r:id="rId5" w:type="default"/>
      <w:pgSz w:w="11906" w:h="16838"/>
      <w:pgMar w:top="1644" w:right="2098"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Univers 45 Light">
    <w:altName w:val="Courier New"/>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ABC59">
    <w:pPr>
      <w:pStyle w:val="9"/>
      <w:ind w:firstLine="360"/>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04240E">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504240E">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45944">
    <w:pPr>
      <w:pStyle w:val="10"/>
      <w:pBdr>
        <w:bottom w:val="none" w:color="auto" w:sz="0" w:space="0"/>
      </w:pBdr>
      <w:tabs>
        <w:tab w:val="center" w:pos="4150"/>
        <w:tab w:val="right" w:pos="8300"/>
        <w:tab w:val="clear" w:pos="4153"/>
        <w:tab w:val="clear" w:pos="8306"/>
      </w:tabs>
      <w:spacing w:line="240" w:lineRule="auto"/>
      <w:ind w:firstLine="0" w:firstLineChars="0"/>
    </w:pPr>
  </w:p>
  <w:p w14:paraId="5A4271BF">
    <w:pPr>
      <w:spacing w:line="240" w:lineRule="auto"/>
      <w:ind w:firstLine="0" w:firstLineChars="0"/>
      <w:rPr>
        <w:rFonts w:hint="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55B8A">
    <w:pPr>
      <w:pStyle w:val="10"/>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DDD34"/>
    <w:multiLevelType w:val="singleLevel"/>
    <w:tmpl w:val="07ADDD3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jZTI5YzhmYTM5ZjY2ZjJjMmNiYWM0YzZiYjcxZjAifQ=="/>
    <w:docVar w:name="KSO_WPS_MARK_KEY" w:val="2d3808d4-080a-46b2-a033-2dfcb43df983"/>
  </w:docVars>
  <w:rsids>
    <w:rsidRoot w:val="3FA016BB"/>
    <w:rsid w:val="01541FBE"/>
    <w:rsid w:val="016478F4"/>
    <w:rsid w:val="019422A6"/>
    <w:rsid w:val="02AC5234"/>
    <w:rsid w:val="02DF1D3D"/>
    <w:rsid w:val="03AA7B5F"/>
    <w:rsid w:val="05692F8B"/>
    <w:rsid w:val="06DD649D"/>
    <w:rsid w:val="07D01B5E"/>
    <w:rsid w:val="089B260D"/>
    <w:rsid w:val="08B46C87"/>
    <w:rsid w:val="08BD33F4"/>
    <w:rsid w:val="093E2451"/>
    <w:rsid w:val="09550CC1"/>
    <w:rsid w:val="0AF074E6"/>
    <w:rsid w:val="0B554854"/>
    <w:rsid w:val="0C7C4062"/>
    <w:rsid w:val="0CBE28CD"/>
    <w:rsid w:val="0D03664E"/>
    <w:rsid w:val="0D140625"/>
    <w:rsid w:val="0F271E22"/>
    <w:rsid w:val="0FC25AA9"/>
    <w:rsid w:val="125B1239"/>
    <w:rsid w:val="12F42BA4"/>
    <w:rsid w:val="133129AC"/>
    <w:rsid w:val="13385F37"/>
    <w:rsid w:val="134A0B53"/>
    <w:rsid w:val="138A41C1"/>
    <w:rsid w:val="14294AD0"/>
    <w:rsid w:val="15673B02"/>
    <w:rsid w:val="1598015F"/>
    <w:rsid w:val="15B11EE6"/>
    <w:rsid w:val="16BE3AB0"/>
    <w:rsid w:val="16BE59A3"/>
    <w:rsid w:val="1725340C"/>
    <w:rsid w:val="181D0DEF"/>
    <w:rsid w:val="1825554A"/>
    <w:rsid w:val="18D01EAF"/>
    <w:rsid w:val="19524380"/>
    <w:rsid w:val="195B607F"/>
    <w:rsid w:val="1A1D0C33"/>
    <w:rsid w:val="1A22449B"/>
    <w:rsid w:val="1A89451A"/>
    <w:rsid w:val="1AAB26E2"/>
    <w:rsid w:val="1C623275"/>
    <w:rsid w:val="1D4E55A7"/>
    <w:rsid w:val="1DCB6589"/>
    <w:rsid w:val="1F7252E7"/>
    <w:rsid w:val="20427645"/>
    <w:rsid w:val="21997D01"/>
    <w:rsid w:val="21D7200F"/>
    <w:rsid w:val="221819BC"/>
    <w:rsid w:val="241A4435"/>
    <w:rsid w:val="257E1526"/>
    <w:rsid w:val="265170F2"/>
    <w:rsid w:val="26A026BC"/>
    <w:rsid w:val="27BB1A8B"/>
    <w:rsid w:val="28754330"/>
    <w:rsid w:val="2A4627F7"/>
    <w:rsid w:val="2B42499D"/>
    <w:rsid w:val="2C340D28"/>
    <w:rsid w:val="2C45359F"/>
    <w:rsid w:val="2C5B55EB"/>
    <w:rsid w:val="2C772424"/>
    <w:rsid w:val="2D2041E2"/>
    <w:rsid w:val="2D7F180A"/>
    <w:rsid w:val="2D9139BA"/>
    <w:rsid w:val="2ECA100B"/>
    <w:rsid w:val="2EFA1321"/>
    <w:rsid w:val="2FE06533"/>
    <w:rsid w:val="307750E9"/>
    <w:rsid w:val="30E402A4"/>
    <w:rsid w:val="31286783"/>
    <w:rsid w:val="31651C7A"/>
    <w:rsid w:val="3195331A"/>
    <w:rsid w:val="332E3A59"/>
    <w:rsid w:val="333068EB"/>
    <w:rsid w:val="338342F2"/>
    <w:rsid w:val="345E211C"/>
    <w:rsid w:val="34802092"/>
    <w:rsid w:val="348A1163"/>
    <w:rsid w:val="375548D2"/>
    <w:rsid w:val="385173CD"/>
    <w:rsid w:val="39550E85"/>
    <w:rsid w:val="39AB14DF"/>
    <w:rsid w:val="3A606BEE"/>
    <w:rsid w:val="3B3F4A55"/>
    <w:rsid w:val="3B5134C6"/>
    <w:rsid w:val="3CA31014"/>
    <w:rsid w:val="3D6764E5"/>
    <w:rsid w:val="3DC17E38"/>
    <w:rsid w:val="3F7171A7"/>
    <w:rsid w:val="3FA016BB"/>
    <w:rsid w:val="3FBF3121"/>
    <w:rsid w:val="3FDB2B03"/>
    <w:rsid w:val="3FE947AA"/>
    <w:rsid w:val="400F0808"/>
    <w:rsid w:val="40E13EB9"/>
    <w:rsid w:val="428065A3"/>
    <w:rsid w:val="42E85458"/>
    <w:rsid w:val="43525542"/>
    <w:rsid w:val="448F7DDB"/>
    <w:rsid w:val="44F25523"/>
    <w:rsid w:val="45F33215"/>
    <w:rsid w:val="46585B96"/>
    <w:rsid w:val="46FF7BD5"/>
    <w:rsid w:val="487E46E3"/>
    <w:rsid w:val="49B20AE8"/>
    <w:rsid w:val="4A1C2405"/>
    <w:rsid w:val="4A225C6E"/>
    <w:rsid w:val="4AFE23CE"/>
    <w:rsid w:val="4B094738"/>
    <w:rsid w:val="4BA91FD8"/>
    <w:rsid w:val="4C383D20"/>
    <w:rsid w:val="4C3B065C"/>
    <w:rsid w:val="4D6C0FAE"/>
    <w:rsid w:val="4D9F7B9D"/>
    <w:rsid w:val="4DE90850"/>
    <w:rsid w:val="4E0538DC"/>
    <w:rsid w:val="4FC11A85"/>
    <w:rsid w:val="4FE54DD3"/>
    <w:rsid w:val="512322CB"/>
    <w:rsid w:val="515E42D3"/>
    <w:rsid w:val="52900446"/>
    <w:rsid w:val="539C566F"/>
    <w:rsid w:val="54C24411"/>
    <w:rsid w:val="56A812A9"/>
    <w:rsid w:val="56AC797B"/>
    <w:rsid w:val="5794408F"/>
    <w:rsid w:val="59070080"/>
    <w:rsid w:val="59916D7C"/>
    <w:rsid w:val="5B306785"/>
    <w:rsid w:val="5B5473DC"/>
    <w:rsid w:val="5B6854AA"/>
    <w:rsid w:val="5BDA5209"/>
    <w:rsid w:val="5C560BAE"/>
    <w:rsid w:val="5C606182"/>
    <w:rsid w:val="5CFB2AF2"/>
    <w:rsid w:val="5D221689"/>
    <w:rsid w:val="5DB25F7C"/>
    <w:rsid w:val="5DEF17A5"/>
    <w:rsid w:val="612B4E50"/>
    <w:rsid w:val="61B52ACC"/>
    <w:rsid w:val="621951BC"/>
    <w:rsid w:val="62806B55"/>
    <w:rsid w:val="635B2E37"/>
    <w:rsid w:val="63676048"/>
    <w:rsid w:val="63D63372"/>
    <w:rsid w:val="641937E6"/>
    <w:rsid w:val="651C2EE6"/>
    <w:rsid w:val="655B7E2E"/>
    <w:rsid w:val="65F64108"/>
    <w:rsid w:val="667A754C"/>
    <w:rsid w:val="670A7C57"/>
    <w:rsid w:val="679A19BD"/>
    <w:rsid w:val="67FB3202"/>
    <w:rsid w:val="68496314"/>
    <w:rsid w:val="695A26B0"/>
    <w:rsid w:val="698750D7"/>
    <w:rsid w:val="6A9516EC"/>
    <w:rsid w:val="6ACA28B9"/>
    <w:rsid w:val="6AEB7832"/>
    <w:rsid w:val="6B2E643B"/>
    <w:rsid w:val="6BB3510B"/>
    <w:rsid w:val="6C2C198C"/>
    <w:rsid w:val="6CB247D7"/>
    <w:rsid w:val="6D4F0278"/>
    <w:rsid w:val="6F20257D"/>
    <w:rsid w:val="70DA6819"/>
    <w:rsid w:val="7104581E"/>
    <w:rsid w:val="716442CB"/>
    <w:rsid w:val="718860E6"/>
    <w:rsid w:val="723637B5"/>
    <w:rsid w:val="72A65155"/>
    <w:rsid w:val="72D57839"/>
    <w:rsid w:val="739A5FC5"/>
    <w:rsid w:val="73D019E7"/>
    <w:rsid w:val="74122DF9"/>
    <w:rsid w:val="742B3769"/>
    <w:rsid w:val="77090774"/>
    <w:rsid w:val="77AB254F"/>
    <w:rsid w:val="78BE2756"/>
    <w:rsid w:val="78C733B9"/>
    <w:rsid w:val="7A747570"/>
    <w:rsid w:val="7B000E04"/>
    <w:rsid w:val="7C855A65"/>
    <w:rsid w:val="7DF369FE"/>
    <w:rsid w:val="7F34107C"/>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7">
    <w:name w:val="Default Paragraph Font"/>
    <w:autoRedefine/>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Normal Indent"/>
    <w:autoRedefine/>
    <w:qFormat/>
    <w:uiPriority w:val="0"/>
    <w:pPr>
      <w:widowControl w:val="0"/>
      <w:spacing w:before="260" w:after="260" w:line="360" w:lineRule="auto"/>
      <w:ind w:firstLine="540" w:firstLineChars="200"/>
      <w:jc w:val="both"/>
    </w:pPr>
    <w:rPr>
      <w:rFonts w:eastAsia="仿宋" w:asciiTheme="minorAscii" w:hAnsiTheme="minorAscii" w:cstheme="minorBidi"/>
      <w:kern w:val="2"/>
      <w:sz w:val="28"/>
      <w:szCs w:val="20"/>
      <w:lang w:val="en-US" w:eastAsia="zh-CN" w:bidi="ar-SA"/>
    </w:rPr>
  </w:style>
  <w:style w:type="paragraph" w:styleId="5">
    <w:name w:val="Body Text"/>
    <w:basedOn w:val="1"/>
    <w:autoRedefine/>
    <w:qFormat/>
    <w:uiPriority w:val="0"/>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6">
    <w:name w:val="Body Text Indent"/>
    <w:basedOn w:val="1"/>
    <w:unhideWhenUsed/>
    <w:qFormat/>
    <w:uiPriority w:val="99"/>
    <w:pPr>
      <w:spacing w:after="120"/>
      <w:ind w:left="420" w:leftChars="200"/>
    </w:pPr>
  </w:style>
  <w:style w:type="paragraph" w:styleId="7">
    <w:name w:val="Block Text"/>
    <w:basedOn w:val="1"/>
    <w:next w:val="1"/>
    <w:autoRedefine/>
    <w:qFormat/>
    <w:uiPriority w:val="99"/>
    <w:pPr>
      <w:spacing w:line="300" w:lineRule="exact"/>
      <w:ind w:left="-105" w:leftChars="-50" w:right="-105" w:rightChars="-50"/>
      <w:jc w:val="center"/>
    </w:pPr>
    <w:rPr>
      <w:rFonts w:ascii="宋体" w:hAnsi="宋体"/>
      <w:sz w:val="18"/>
      <w:szCs w:val="20"/>
    </w:rPr>
  </w:style>
  <w:style w:type="paragraph" w:styleId="8">
    <w:name w:val="Body Text Indent 2"/>
    <w:basedOn w:val="1"/>
    <w:autoRedefine/>
    <w:qFormat/>
    <w:uiPriority w:val="0"/>
    <w:pPr>
      <w:spacing w:after="120" w:line="480" w:lineRule="auto"/>
      <w:ind w:left="420" w:leftChars="200"/>
    </w:pPr>
    <w:rPr>
      <w:sz w:val="21"/>
      <w:szCs w:val="24"/>
    </w:rPr>
  </w:style>
  <w:style w:type="paragraph" w:styleId="9">
    <w:name w:val="footer"/>
    <w:basedOn w:val="1"/>
    <w:autoRedefine/>
    <w:unhideWhenUsed/>
    <w:qFormat/>
    <w:uiPriority w:val="99"/>
    <w:pPr>
      <w:tabs>
        <w:tab w:val="center" w:pos="4153"/>
        <w:tab w:val="right" w:pos="8306"/>
      </w:tabs>
      <w:snapToGrid w:val="0"/>
    </w:pPr>
    <w:rPr>
      <w:sz w:val="18"/>
      <w:szCs w:val="18"/>
    </w:rPr>
  </w:style>
  <w:style w:type="paragraph" w:styleId="10">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adjustRightInd w:val="0"/>
      <w:snapToGrid w:val="0"/>
      <w:spacing w:before="120" w:after="120"/>
      <w:jc w:val="left"/>
    </w:pPr>
    <w:rPr>
      <w:rFonts w:ascii="Calibri" w:hAnsi="Calibri" w:eastAsia="仿宋_GB2312" w:cs="Calibri"/>
      <w:b/>
      <w:bCs/>
      <w:caps/>
      <w:sz w:val="28"/>
      <w:szCs w:val="28"/>
    </w:rPr>
  </w:style>
  <w:style w:type="paragraph" w:styleId="12">
    <w:name w:val="toc 4"/>
    <w:next w:val="1"/>
    <w:autoRedefine/>
    <w:unhideWhenUsed/>
    <w:qFormat/>
    <w:uiPriority w:val="39"/>
    <w:pPr>
      <w:widowControl w:val="0"/>
      <w:spacing w:before="20" w:beforeLines="20" w:after="20" w:afterLines="20" w:line="360" w:lineRule="auto"/>
      <w:ind w:left="720" w:firstLine="200" w:firstLineChars="200"/>
      <w:jc w:val="left"/>
    </w:pPr>
    <w:rPr>
      <w:rFonts w:ascii="Calibri" w:hAnsi="Calibri" w:eastAsia="宋体" w:cs="Times New Roman"/>
      <w:kern w:val="2"/>
      <w:sz w:val="20"/>
      <w:szCs w:val="20"/>
      <w:lang w:val="en-US" w:eastAsia="zh-CN" w:bidi="ar-SA"/>
    </w:rPr>
  </w:style>
  <w:style w:type="paragraph" w:styleId="13">
    <w:name w:val="Body Text 2"/>
    <w:basedOn w:val="1"/>
    <w:next w:val="5"/>
    <w:qFormat/>
    <w:uiPriority w:val="99"/>
    <w:pPr>
      <w:spacing w:after="120" w:line="480" w:lineRule="auto"/>
      <w:ind w:firstLine="560"/>
    </w:pPr>
    <w:rPr>
      <w:rFonts w:ascii="Calibri" w:hAnsi="Calibri"/>
    </w:rPr>
  </w:style>
  <w:style w:type="paragraph" w:styleId="14">
    <w:name w:val="Body Text First Indent"/>
    <w:basedOn w:val="5"/>
    <w:next w:val="5"/>
    <w:autoRedefine/>
    <w:qFormat/>
    <w:uiPriority w:val="0"/>
    <w:pPr>
      <w:autoSpaceDE/>
      <w:autoSpaceDN/>
      <w:adjustRightInd/>
      <w:spacing w:after="120"/>
      <w:ind w:firstLine="420" w:firstLineChars="100"/>
      <w:jc w:val="both"/>
    </w:pPr>
    <w:rPr>
      <w:kern w:val="2"/>
      <w:sz w:val="21"/>
    </w:rPr>
  </w:style>
  <w:style w:type="paragraph" w:styleId="15">
    <w:name w:val="Body Text First Indent 2"/>
    <w:basedOn w:val="6"/>
    <w:next w:val="1"/>
    <w:qFormat/>
    <w:uiPriority w:val="0"/>
    <w:pPr>
      <w:ind w:firstLine="420" w:firstLineChars="200"/>
    </w:pPr>
  </w:style>
  <w:style w:type="character" w:styleId="18">
    <w:name w:val="Emphasis"/>
    <w:basedOn w:val="17"/>
    <w:autoRedefine/>
    <w:qFormat/>
    <w:uiPriority w:val="20"/>
    <w:rPr>
      <w:i/>
    </w:rPr>
  </w:style>
  <w:style w:type="paragraph" w:customStyle="1" w:styleId="19">
    <w:name w:val="正文文字 6"/>
    <w:next w:val="1"/>
    <w:autoRedefine/>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customStyle="1" w:styleId="20">
    <w:name w:val="表格2"/>
    <w:basedOn w:val="7"/>
    <w:autoRedefine/>
    <w:qFormat/>
    <w:uiPriority w:val="0"/>
    <w:pPr>
      <w:spacing w:line="240" w:lineRule="exact"/>
      <w:ind w:left="0" w:leftChars="0" w:right="0" w:rightChars="0" w:firstLine="0" w:firstLineChars="0"/>
    </w:pPr>
    <w:rPr>
      <w:rFonts w:ascii="Times New Roman" w:hAnsi="Times New Roman" w:cs="Times New Roman"/>
      <w:sz w:val="22"/>
      <w:szCs w:val="20"/>
    </w:rPr>
  </w:style>
  <w:style w:type="paragraph" w:customStyle="1" w:styleId="21">
    <w:name w:val="样式8"/>
    <w:basedOn w:val="1"/>
    <w:link w:val="26"/>
    <w:autoRedefine/>
    <w:qFormat/>
    <w:uiPriority w:val="0"/>
    <w:pPr>
      <w:spacing w:line="360" w:lineRule="auto"/>
      <w:ind w:firstLine="720" w:firstLineChars="200"/>
      <w:jc w:val="both"/>
    </w:pPr>
    <w:rPr>
      <w:rFonts w:ascii="Times New Roman" w:hAnsi="Times New Roman" w:eastAsia="仿宋"/>
      <w:sz w:val="28"/>
      <w:szCs w:val="24"/>
    </w:rPr>
  </w:style>
  <w:style w:type="paragraph" w:customStyle="1" w:styleId="22">
    <w:name w:val="表格222"/>
    <w:basedOn w:val="11"/>
    <w:autoRedefine/>
    <w:qFormat/>
    <w:uiPriority w:val="0"/>
    <w:pPr>
      <w:spacing w:line="240" w:lineRule="exact"/>
      <w:jc w:val="center"/>
    </w:pPr>
    <w:rPr>
      <w:rFonts w:ascii="Times New Roman" w:hAnsi="Times New Roman" w:eastAsia="仿宋" w:cs="Calibri"/>
      <w:sz w:val="22"/>
    </w:rPr>
  </w:style>
  <w:style w:type="paragraph" w:customStyle="1" w:styleId="23">
    <w:name w:val="Default"/>
    <w:autoRedefine/>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24">
    <w:name w:val="font21"/>
    <w:basedOn w:val="17"/>
    <w:autoRedefine/>
    <w:qFormat/>
    <w:uiPriority w:val="0"/>
    <w:rPr>
      <w:rFonts w:hint="default" w:ascii="Times New Roman" w:hAnsi="Times New Roman" w:cs="Times New Roman"/>
      <w:color w:val="000000"/>
      <w:sz w:val="28"/>
      <w:szCs w:val="28"/>
      <w:u w:val="none"/>
    </w:rPr>
  </w:style>
  <w:style w:type="character" w:customStyle="1" w:styleId="25">
    <w:name w:val="font31"/>
    <w:basedOn w:val="17"/>
    <w:autoRedefine/>
    <w:qFormat/>
    <w:uiPriority w:val="0"/>
    <w:rPr>
      <w:rFonts w:hint="eastAsia" w:ascii="宋体" w:hAnsi="宋体" w:eastAsia="宋体" w:cs="宋体"/>
      <w:color w:val="000000"/>
      <w:sz w:val="20"/>
      <w:szCs w:val="20"/>
      <w:u w:val="none"/>
    </w:rPr>
  </w:style>
  <w:style w:type="character" w:customStyle="1" w:styleId="26">
    <w:name w:val="样式8 Char1"/>
    <w:link w:val="21"/>
    <w:autoRedefine/>
    <w:qFormat/>
    <w:uiPriority w:val="0"/>
    <w:rPr>
      <w:rFonts w:ascii="Times New Roman" w:hAnsi="Times New Roman" w:eastAsia="仿宋"/>
      <w:sz w:val="28"/>
      <w:szCs w:val="24"/>
    </w:rPr>
  </w:style>
  <w:style w:type="paragraph" w:customStyle="1" w:styleId="27">
    <w:name w:val="封面项目名称"/>
    <w:basedOn w:val="1"/>
    <w:qFormat/>
    <w:uiPriority w:val="0"/>
    <w:pPr>
      <w:spacing w:line="360" w:lineRule="atLeast"/>
      <w:jc w:val="center"/>
    </w:pPr>
    <w:rPr>
      <w:rFonts w:eastAsia="华文中宋"/>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4876</Words>
  <Characters>5281</Characters>
  <Lines>0</Lines>
  <Paragraphs>0</Paragraphs>
  <TotalTime>1</TotalTime>
  <ScaleCrop>false</ScaleCrop>
  <LinksUpToDate>false</LinksUpToDate>
  <CharactersWithSpaces>5284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2019-12-07T12:57:00Z</dcterms:created>
  <dc:creator>李仕林</dc:creator>
  <cp:lastModifiedBy>14.柳兴</cp:lastModifiedBy>
  <dcterms:modified xsi:type="dcterms:W3CDTF">2025-09-15T08:28:48Z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9A1B341ECD954994A05D33A94D9913D9_13</vt:lpwstr>
  </property>
  <property fmtid="{D5CDD505-2E9C-101B-9397-08002B2CF9AE}" pid="4" name="KSOTemplateDocerSaveRecord">
    <vt:lpwstr>eyJoZGlkIjoiNjZjZTI5YzhmYTM5ZjY2ZjJjMmNiYWM0YzZiYjcxZjAiLCJ1c2VySWQiOiI5MTk1MDM5NTYifQ==</vt:lpwstr>
  </property>
</Properties>
</file>